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0105C" w14:textId="367CF38F" w:rsidR="0085658C" w:rsidRPr="00515920" w:rsidRDefault="00F72C46" w:rsidP="00515920">
      <w:pPr>
        <w:keepNext/>
        <w:spacing w:before="100" w:beforeAutospacing="1" w:after="100" w:afterAutospacing="1"/>
        <w:rPr>
          <w:rFonts w:ascii="MarkOT-Heavy" w:hAnsi="MarkOT-Heavy" w:cs="Arial"/>
          <w:color w:val="000000" w:themeColor="text1"/>
          <w:sz w:val="16"/>
          <w:szCs w:val="16"/>
        </w:rPr>
      </w:pPr>
      <w:r w:rsidRPr="00515920">
        <w:rPr>
          <w:rFonts w:ascii="MarkOT-Heavy" w:hAnsi="MarkOT-Heavy" w:cs="Arial"/>
          <w:color w:val="000000" w:themeColor="text1"/>
          <w:sz w:val="16"/>
          <w:szCs w:val="16"/>
        </w:rPr>
        <w:t>Applies to services purchased by new customers and recharges purchased by existing customers from:</w:t>
      </w:r>
      <w:r w:rsidR="00515920" w:rsidRPr="00515920">
        <w:rPr>
          <w:rFonts w:ascii="MarkOT-Heavy" w:hAnsi="MarkOT-Heavy" w:cs="Arial"/>
          <w:color w:val="000000" w:themeColor="text1"/>
          <w:sz w:val="16"/>
          <w:szCs w:val="16"/>
        </w:rPr>
        <w:t xml:space="preserve"> </w:t>
      </w:r>
      <w:r w:rsidR="0085658C" w:rsidRPr="00515920">
        <w:rPr>
          <w:rFonts w:ascii="MarkOT-Heavy" w:hAnsi="MarkOT-Heavy" w:cs="Arial"/>
          <w:color w:val="000000" w:themeColor="text1"/>
          <w:sz w:val="16"/>
          <w:szCs w:val="16"/>
        </w:rPr>
        <w:t xml:space="preserve">11:00am Sydney </w:t>
      </w:r>
      <w:r w:rsidR="00DD5F9E" w:rsidRPr="00515920">
        <w:rPr>
          <w:rFonts w:ascii="MarkOT-Heavy" w:hAnsi="MarkOT-Heavy" w:cs="Arial"/>
          <w:color w:val="000000" w:themeColor="text1"/>
          <w:sz w:val="16"/>
          <w:szCs w:val="16"/>
        </w:rPr>
        <w:t xml:space="preserve">time </w:t>
      </w:r>
      <w:r w:rsidR="007E3E2B" w:rsidRPr="00515920">
        <w:rPr>
          <w:rFonts w:ascii="MarkOT-Heavy" w:hAnsi="MarkOT-Heavy" w:cs="Arial"/>
          <w:color w:val="000000" w:themeColor="text1"/>
          <w:sz w:val="16"/>
          <w:szCs w:val="16"/>
        </w:rPr>
        <w:t>28 August 2018</w:t>
      </w:r>
      <w:r w:rsidR="0055741B" w:rsidRPr="00515920">
        <w:rPr>
          <w:rFonts w:ascii="MarkOT-Heavy" w:hAnsi="MarkOT-Heavy" w:cs="Arial"/>
          <w:color w:val="000000" w:themeColor="text1"/>
          <w:sz w:val="16"/>
          <w:szCs w:val="16"/>
        </w:rPr>
        <w:t xml:space="preserve"> to </w:t>
      </w:r>
      <w:r w:rsidR="00515920" w:rsidRPr="00515920">
        <w:rPr>
          <w:rFonts w:ascii="MarkOT-Heavy" w:hAnsi="MarkOT-Heavy" w:cs="Arial"/>
          <w:color w:val="000000" w:themeColor="text1"/>
          <w:sz w:val="16"/>
          <w:szCs w:val="16"/>
        </w:rPr>
        <w:t>05 August 2021.</w:t>
      </w:r>
    </w:p>
    <w:p w14:paraId="0130105D" w14:textId="77777777" w:rsidR="00185E7A" w:rsidRPr="0085658C" w:rsidRDefault="00185E7A" w:rsidP="00AF6F4A">
      <w:pPr>
        <w:keepNext/>
        <w:rPr>
          <w:rFonts w:ascii="MarkOT-Heavy" w:hAnsi="MarkOT-Heavy" w:cs="Arial"/>
          <w:color w:val="27638F"/>
          <w:sz w:val="18"/>
          <w:szCs w:val="18"/>
        </w:rPr>
      </w:pPr>
      <w:r w:rsidRPr="0085658C">
        <w:rPr>
          <w:rFonts w:ascii="MarkOT-Heavy" w:hAnsi="MarkOT-Heavy" w:cs="Arial"/>
          <w:color w:val="27638F"/>
          <w:sz w:val="18"/>
          <w:szCs w:val="18"/>
        </w:rPr>
        <w:t xml:space="preserve">Information About the Service </w:t>
      </w:r>
    </w:p>
    <w:p w14:paraId="0130105E" w14:textId="77777777" w:rsidR="00185E7A" w:rsidRPr="0085658C" w:rsidRDefault="006C12A6" w:rsidP="00185E7A">
      <w:r w:rsidRPr="0085658C">
        <w:rPr>
          <w:b/>
        </w:rPr>
        <w:t>Service Description:</w:t>
      </w:r>
      <w:r w:rsidRPr="0085658C">
        <w:t xml:space="preserve"> </w:t>
      </w:r>
      <w:r w:rsidR="00185E7A" w:rsidRPr="0085658C">
        <w:t xml:space="preserve">This </w:t>
      </w:r>
      <w:r w:rsidR="003F790C" w:rsidRPr="0085658C">
        <w:t xml:space="preserve">service is a prepaid mobile </w:t>
      </w:r>
      <w:r w:rsidR="007E3E2B">
        <w:t>30</w:t>
      </w:r>
      <w:r w:rsidR="0085658C" w:rsidRPr="0085658C">
        <w:t xml:space="preserve"> </w:t>
      </w:r>
      <w:r w:rsidR="00185E7A" w:rsidRPr="0085658C">
        <w:t xml:space="preserve">day service, offered by Catch Connect using the Optus network.  Catch Connect Prepaid </w:t>
      </w:r>
      <w:r w:rsidR="007E3E2B">
        <w:t>data only</w:t>
      </w:r>
      <w:r w:rsidR="007E3E2B" w:rsidRPr="0085658C">
        <w:t xml:space="preserve"> </w:t>
      </w:r>
      <w:r w:rsidR="00185E7A" w:rsidRPr="0085658C">
        <w:t xml:space="preserve">plans have different inclusions depending on the </w:t>
      </w:r>
      <w:r w:rsidR="003F790C" w:rsidRPr="0085658C">
        <w:t>amount you choose to recharge.</w:t>
      </w:r>
    </w:p>
    <w:p w14:paraId="0130105F" w14:textId="77777777" w:rsidR="00663FE1" w:rsidRPr="0085658C" w:rsidRDefault="00185E7A" w:rsidP="00185E7A">
      <w:r w:rsidRPr="0085658C">
        <w:t xml:space="preserve">Catch Connect </w:t>
      </w:r>
      <w:r w:rsidR="007E3E2B">
        <w:t>3</w:t>
      </w:r>
      <w:r w:rsidR="0085658C">
        <w:t>0</w:t>
      </w:r>
      <w:r w:rsidR="0085658C" w:rsidRPr="0085658C">
        <w:t xml:space="preserve"> </w:t>
      </w:r>
      <w:r w:rsidRPr="0085658C">
        <w:t xml:space="preserve">Day Prepaid </w:t>
      </w:r>
      <w:r w:rsidR="007E3E2B">
        <w:t>data only</w:t>
      </w:r>
      <w:r w:rsidR="007E3E2B" w:rsidRPr="0085658C">
        <w:t xml:space="preserve"> </w:t>
      </w:r>
      <w:r w:rsidRPr="0085658C">
        <w:t>plans include the following standard plan inclusions for use within Australia:</w:t>
      </w:r>
    </w:p>
    <w:tbl>
      <w:tblPr>
        <w:tblStyle w:val="TableText"/>
        <w:tblW w:w="5103" w:type="dxa"/>
        <w:tblInd w:w="-5" w:type="dxa"/>
        <w:tblLook w:val="04A0" w:firstRow="1" w:lastRow="0" w:firstColumn="1" w:lastColumn="0" w:noHBand="0" w:noVBand="1"/>
      </w:tblPr>
      <w:tblGrid>
        <w:gridCol w:w="1118"/>
        <w:gridCol w:w="797"/>
        <w:gridCol w:w="797"/>
        <w:gridCol w:w="797"/>
        <w:gridCol w:w="797"/>
        <w:gridCol w:w="797"/>
      </w:tblGrid>
      <w:tr w:rsidR="00511DC7" w:rsidRPr="0085658C" w14:paraId="01301066" w14:textId="77777777" w:rsidTr="00C37D2B">
        <w:trPr>
          <w:cantSplit/>
        </w:trPr>
        <w:tc>
          <w:tcPr>
            <w:tcW w:w="993" w:type="dxa"/>
          </w:tcPr>
          <w:p w14:paraId="42B9FD7D" w14:textId="3BDFD71E" w:rsidR="00DF14A5" w:rsidRDefault="00511DC7" w:rsidP="00511DC7">
            <w:pPr>
              <w:pStyle w:val="NormalTable3pttopbottom"/>
              <w:rPr>
                <w:b/>
              </w:rPr>
            </w:pPr>
            <w:r w:rsidRPr="0085658C">
              <w:rPr>
                <w:b/>
              </w:rPr>
              <w:t xml:space="preserve">Prepaid  </w:t>
            </w:r>
          </w:p>
          <w:p w14:paraId="01301060" w14:textId="175F6BDF" w:rsidR="00511DC7" w:rsidRPr="0085658C" w:rsidRDefault="00511DC7" w:rsidP="00511DC7">
            <w:pPr>
              <w:pStyle w:val="NormalTable3pttopbottom"/>
              <w:rPr>
                <w:b/>
              </w:rPr>
            </w:pPr>
            <w:r>
              <w:rPr>
                <w:b/>
              </w:rPr>
              <w:t>30</w:t>
            </w:r>
            <w:r w:rsidRPr="0085658C">
              <w:rPr>
                <w:b/>
              </w:rPr>
              <w:t xml:space="preserve"> Day Plans</w:t>
            </w:r>
          </w:p>
        </w:tc>
        <w:tc>
          <w:tcPr>
            <w:tcW w:w="709" w:type="dxa"/>
            <w:vAlign w:val="center"/>
          </w:tcPr>
          <w:p w14:paraId="01301061" w14:textId="5A8F728E" w:rsidR="00511DC7" w:rsidRPr="00131031" w:rsidRDefault="00511DC7" w:rsidP="008A3A5F">
            <w:pPr>
              <w:pStyle w:val="NormalTable3pttopbottom"/>
              <w:spacing w:after="0"/>
              <w:ind w:right="170"/>
              <w:jc w:val="center"/>
              <w:rPr>
                <w:sz w:val="18"/>
                <w:szCs w:val="18"/>
              </w:rPr>
            </w:pPr>
            <w:r w:rsidRPr="00131031">
              <w:rPr>
                <w:b/>
                <w:bCs/>
                <w:sz w:val="18"/>
                <w:szCs w:val="18"/>
              </w:rPr>
              <w:t>$30</w:t>
            </w:r>
          </w:p>
        </w:tc>
        <w:tc>
          <w:tcPr>
            <w:tcW w:w="709" w:type="dxa"/>
            <w:vAlign w:val="center"/>
          </w:tcPr>
          <w:p w14:paraId="01301062" w14:textId="193A0558" w:rsidR="00511DC7" w:rsidRPr="00131031" w:rsidRDefault="00F36BE8" w:rsidP="008A3A5F">
            <w:pPr>
              <w:pStyle w:val="NormalTable3pttopbottom"/>
              <w:spacing w:after="0"/>
              <w:ind w:right="170"/>
              <w:jc w:val="center"/>
              <w:rPr>
                <w:sz w:val="18"/>
                <w:szCs w:val="18"/>
              </w:rPr>
            </w:pPr>
            <w:r>
              <w:rPr>
                <w:b/>
                <w:bCs/>
                <w:sz w:val="18"/>
                <w:szCs w:val="18"/>
              </w:rPr>
              <w:t>$</w:t>
            </w:r>
            <w:r w:rsidR="00511DC7" w:rsidRPr="00131031">
              <w:rPr>
                <w:b/>
                <w:bCs/>
                <w:sz w:val="18"/>
                <w:szCs w:val="18"/>
              </w:rPr>
              <w:t>40</w:t>
            </w:r>
          </w:p>
        </w:tc>
        <w:tc>
          <w:tcPr>
            <w:tcW w:w="709" w:type="dxa"/>
            <w:vAlign w:val="center"/>
          </w:tcPr>
          <w:p w14:paraId="01301063" w14:textId="1A396E42" w:rsidR="00511DC7" w:rsidRPr="00120BF8" w:rsidRDefault="00511DC7" w:rsidP="008A3A5F">
            <w:pPr>
              <w:pStyle w:val="NormalTable3pttopbottom"/>
              <w:spacing w:after="0"/>
              <w:ind w:right="170"/>
              <w:jc w:val="center"/>
              <w:rPr>
                <w:b/>
                <w:bCs/>
                <w:sz w:val="18"/>
                <w:szCs w:val="18"/>
              </w:rPr>
            </w:pPr>
            <w:r w:rsidRPr="00120BF8">
              <w:rPr>
                <w:b/>
                <w:bCs/>
                <w:sz w:val="18"/>
                <w:szCs w:val="18"/>
              </w:rPr>
              <w:t>$60</w:t>
            </w:r>
          </w:p>
        </w:tc>
        <w:tc>
          <w:tcPr>
            <w:tcW w:w="709" w:type="dxa"/>
            <w:vAlign w:val="center"/>
          </w:tcPr>
          <w:p w14:paraId="01301064" w14:textId="61EBBB69" w:rsidR="00511DC7" w:rsidRPr="00120BF8" w:rsidRDefault="00511DC7" w:rsidP="008A3A5F">
            <w:pPr>
              <w:pStyle w:val="NormalTable3pttopbottom"/>
              <w:spacing w:after="0"/>
              <w:ind w:right="170"/>
              <w:jc w:val="center"/>
              <w:rPr>
                <w:b/>
                <w:bCs/>
                <w:sz w:val="18"/>
                <w:szCs w:val="18"/>
              </w:rPr>
            </w:pPr>
            <w:r w:rsidRPr="00120BF8">
              <w:rPr>
                <w:b/>
                <w:bCs/>
                <w:sz w:val="18"/>
                <w:szCs w:val="18"/>
              </w:rPr>
              <w:t>$70</w:t>
            </w:r>
          </w:p>
        </w:tc>
        <w:tc>
          <w:tcPr>
            <w:tcW w:w="709" w:type="dxa"/>
            <w:vAlign w:val="center"/>
          </w:tcPr>
          <w:p w14:paraId="01301065" w14:textId="725371D5" w:rsidR="00511DC7" w:rsidRPr="00120BF8" w:rsidRDefault="00511DC7" w:rsidP="008A3A5F">
            <w:pPr>
              <w:pStyle w:val="NormalTable3pttopbottom"/>
              <w:spacing w:after="0"/>
              <w:ind w:right="170"/>
              <w:jc w:val="center"/>
              <w:rPr>
                <w:b/>
                <w:bCs/>
                <w:sz w:val="18"/>
                <w:szCs w:val="18"/>
              </w:rPr>
            </w:pPr>
            <w:r w:rsidRPr="00120BF8">
              <w:rPr>
                <w:b/>
                <w:bCs/>
                <w:sz w:val="18"/>
                <w:szCs w:val="18"/>
              </w:rPr>
              <w:t>$90</w:t>
            </w:r>
          </w:p>
        </w:tc>
      </w:tr>
      <w:tr w:rsidR="00511DC7" w:rsidRPr="0085658C" w14:paraId="01301069" w14:textId="77777777" w:rsidTr="00485815">
        <w:tc>
          <w:tcPr>
            <w:tcW w:w="993" w:type="dxa"/>
          </w:tcPr>
          <w:p w14:paraId="01301067" w14:textId="77777777" w:rsidR="00511DC7" w:rsidRPr="0085658C" w:rsidRDefault="00511DC7" w:rsidP="0085658C">
            <w:pPr>
              <w:pStyle w:val="NormalTable3pttopbottom"/>
              <w:rPr>
                <w:b/>
              </w:rPr>
            </w:pPr>
            <w:r w:rsidRPr="0085658C">
              <w:rPr>
                <w:b/>
              </w:rPr>
              <w:t xml:space="preserve">Minimum monthly charge </w:t>
            </w:r>
          </w:p>
        </w:tc>
        <w:tc>
          <w:tcPr>
            <w:tcW w:w="709" w:type="dxa"/>
            <w:gridSpan w:val="5"/>
            <w:vAlign w:val="center"/>
          </w:tcPr>
          <w:p w14:paraId="01301068" w14:textId="77777777" w:rsidR="00511DC7" w:rsidRDefault="00511DC7" w:rsidP="0085658C">
            <w:pPr>
              <w:pStyle w:val="NormalTable3pttopbottom"/>
              <w:jc w:val="center"/>
            </w:pPr>
            <w:r>
              <w:t>Not applicable</w:t>
            </w:r>
          </w:p>
        </w:tc>
      </w:tr>
      <w:tr w:rsidR="00511DC7" w:rsidRPr="0085658C" w14:paraId="0130106C" w14:textId="77777777" w:rsidTr="00485815">
        <w:tc>
          <w:tcPr>
            <w:tcW w:w="993" w:type="dxa"/>
          </w:tcPr>
          <w:p w14:paraId="0130106A" w14:textId="77777777" w:rsidR="00511DC7" w:rsidRPr="0085658C" w:rsidRDefault="00511DC7" w:rsidP="0085658C">
            <w:pPr>
              <w:pStyle w:val="NormalTable3pttopbottom"/>
              <w:rPr>
                <w:b/>
              </w:rPr>
            </w:pPr>
            <w:r w:rsidRPr="0085658C">
              <w:rPr>
                <w:b/>
              </w:rPr>
              <w:t>Maximum monthly charge</w:t>
            </w:r>
          </w:p>
        </w:tc>
        <w:tc>
          <w:tcPr>
            <w:tcW w:w="709" w:type="dxa"/>
            <w:gridSpan w:val="5"/>
            <w:vAlign w:val="center"/>
          </w:tcPr>
          <w:p w14:paraId="0130106B" w14:textId="77777777" w:rsidR="00511DC7" w:rsidRDefault="00511DC7" w:rsidP="0085658C">
            <w:pPr>
              <w:pStyle w:val="NormalTable3pttopbottom"/>
              <w:jc w:val="center"/>
            </w:pPr>
            <w:r>
              <w:t>Not applicable</w:t>
            </w:r>
          </w:p>
        </w:tc>
      </w:tr>
      <w:tr w:rsidR="00511DC7" w:rsidRPr="0085658C" w14:paraId="0130106F" w14:textId="77777777" w:rsidTr="00485815">
        <w:tc>
          <w:tcPr>
            <w:tcW w:w="993" w:type="dxa"/>
          </w:tcPr>
          <w:p w14:paraId="0130106D" w14:textId="77777777" w:rsidR="00511DC7" w:rsidRPr="0085658C" w:rsidRDefault="00511DC7" w:rsidP="0085658C">
            <w:pPr>
              <w:pStyle w:val="NormalTable3pttopbottom"/>
              <w:rPr>
                <w:b/>
              </w:rPr>
            </w:pPr>
            <w:r w:rsidRPr="0085658C">
              <w:rPr>
                <w:b/>
              </w:rPr>
              <w:t xml:space="preserve">Maximum charge for early termination </w:t>
            </w:r>
          </w:p>
        </w:tc>
        <w:tc>
          <w:tcPr>
            <w:tcW w:w="709" w:type="dxa"/>
            <w:gridSpan w:val="5"/>
            <w:vAlign w:val="center"/>
          </w:tcPr>
          <w:p w14:paraId="0130106E" w14:textId="77777777" w:rsidR="00511DC7" w:rsidRDefault="00511DC7" w:rsidP="0085658C">
            <w:pPr>
              <w:pStyle w:val="NormalTable3pttopbottom"/>
              <w:jc w:val="center"/>
            </w:pPr>
            <w:r>
              <w:t>Nil</w:t>
            </w:r>
          </w:p>
        </w:tc>
      </w:tr>
      <w:tr w:rsidR="00511DC7" w:rsidRPr="0085658C" w14:paraId="01301072" w14:textId="77777777" w:rsidTr="00485815">
        <w:tc>
          <w:tcPr>
            <w:tcW w:w="993" w:type="dxa"/>
          </w:tcPr>
          <w:p w14:paraId="01301070" w14:textId="77777777" w:rsidR="00511DC7" w:rsidRPr="0085658C" w:rsidRDefault="00511DC7" w:rsidP="0085658C">
            <w:pPr>
              <w:pStyle w:val="NormalTable3pttopbottom"/>
              <w:rPr>
                <w:b/>
              </w:rPr>
            </w:pPr>
            <w:r w:rsidRPr="0085658C">
              <w:rPr>
                <w:b/>
              </w:rPr>
              <w:t xml:space="preserve">Minimum term applicable </w:t>
            </w:r>
          </w:p>
        </w:tc>
        <w:tc>
          <w:tcPr>
            <w:tcW w:w="709" w:type="dxa"/>
            <w:gridSpan w:val="5"/>
            <w:vAlign w:val="center"/>
          </w:tcPr>
          <w:p w14:paraId="01301071" w14:textId="77777777" w:rsidR="00511DC7" w:rsidRDefault="00511DC7" w:rsidP="0085658C">
            <w:pPr>
              <w:pStyle w:val="NormalTable3pttopbottom"/>
              <w:jc w:val="center"/>
            </w:pPr>
            <w:r>
              <w:t>Up to 72 hours</w:t>
            </w:r>
          </w:p>
        </w:tc>
      </w:tr>
      <w:tr w:rsidR="00511DC7" w:rsidRPr="0085658C" w14:paraId="01301076" w14:textId="77777777" w:rsidTr="00485815">
        <w:tc>
          <w:tcPr>
            <w:tcW w:w="993" w:type="dxa"/>
          </w:tcPr>
          <w:p w14:paraId="01301073" w14:textId="77777777" w:rsidR="00511DC7" w:rsidRPr="0085658C" w:rsidRDefault="00511DC7" w:rsidP="0085658C">
            <w:pPr>
              <w:pStyle w:val="NormalTable3pttopbottom"/>
              <w:rPr>
                <w:b/>
              </w:rPr>
            </w:pPr>
            <w:r w:rsidRPr="0085658C">
              <w:rPr>
                <w:b/>
              </w:rPr>
              <w:t>Included minutes (Talk)</w:t>
            </w:r>
          </w:p>
          <w:p w14:paraId="01301074" w14:textId="77777777" w:rsidR="00511DC7" w:rsidRPr="0085658C" w:rsidRDefault="00511DC7" w:rsidP="0085658C">
            <w:pPr>
              <w:pStyle w:val="NormalTable3pttopbottom"/>
            </w:pPr>
            <w:r w:rsidRPr="0085658C">
              <w:t xml:space="preserve">Standard Australian mobiles and landlines, 13/1300 numbers and voicemail </w:t>
            </w:r>
            <w:r w:rsidRPr="0085658C">
              <w:rPr>
                <w:color w:val="000000" w:themeColor="text1"/>
              </w:rPr>
              <w:t>retrieval</w:t>
            </w:r>
            <w:r w:rsidRPr="0085658C">
              <w:t>.</w:t>
            </w:r>
          </w:p>
        </w:tc>
        <w:tc>
          <w:tcPr>
            <w:tcW w:w="709" w:type="dxa"/>
            <w:gridSpan w:val="5"/>
            <w:vAlign w:val="center"/>
          </w:tcPr>
          <w:p w14:paraId="01301075" w14:textId="77777777" w:rsidR="00511DC7" w:rsidRPr="0085658C" w:rsidRDefault="00511DC7" w:rsidP="0085658C">
            <w:pPr>
              <w:pStyle w:val="NormalTable3pttopbottom"/>
              <w:jc w:val="center"/>
            </w:pPr>
            <w:r>
              <w:t>Nil</w:t>
            </w:r>
          </w:p>
        </w:tc>
      </w:tr>
      <w:tr w:rsidR="00511DC7" w:rsidRPr="0085658C" w14:paraId="0130107A" w14:textId="77777777" w:rsidTr="00485815">
        <w:tc>
          <w:tcPr>
            <w:tcW w:w="993" w:type="dxa"/>
          </w:tcPr>
          <w:p w14:paraId="01301077" w14:textId="77777777" w:rsidR="00511DC7" w:rsidRPr="0085658C" w:rsidRDefault="00511DC7" w:rsidP="0085658C">
            <w:pPr>
              <w:pStyle w:val="NormalTable3pttopbottom"/>
              <w:rPr>
                <w:b/>
              </w:rPr>
            </w:pPr>
            <w:r w:rsidRPr="0085658C">
              <w:rPr>
                <w:b/>
              </w:rPr>
              <w:t>Included SMS/MMS (Text)</w:t>
            </w:r>
          </w:p>
          <w:p w14:paraId="01301078" w14:textId="77777777" w:rsidR="00511DC7" w:rsidRPr="0085658C" w:rsidRDefault="00511DC7" w:rsidP="0085658C">
            <w:pPr>
              <w:pStyle w:val="NormalTable3pttopbottom"/>
            </w:pPr>
            <w:r w:rsidRPr="0085658C">
              <w:t>Standard national SMS and MMS.</w:t>
            </w:r>
          </w:p>
        </w:tc>
        <w:tc>
          <w:tcPr>
            <w:tcW w:w="709" w:type="dxa"/>
            <w:gridSpan w:val="5"/>
            <w:vAlign w:val="center"/>
          </w:tcPr>
          <w:p w14:paraId="01301079" w14:textId="77777777" w:rsidR="00511DC7" w:rsidRPr="0085658C" w:rsidRDefault="00511DC7" w:rsidP="0085658C">
            <w:pPr>
              <w:pStyle w:val="NormalTable3pttopbottom"/>
              <w:jc w:val="center"/>
            </w:pPr>
            <w:r>
              <w:t>Nil</w:t>
            </w:r>
          </w:p>
        </w:tc>
      </w:tr>
      <w:tr w:rsidR="00511DC7" w:rsidRPr="0085658C" w14:paraId="01301082" w14:textId="77777777" w:rsidTr="00485815">
        <w:tc>
          <w:tcPr>
            <w:tcW w:w="993" w:type="dxa"/>
          </w:tcPr>
          <w:p w14:paraId="0130107B" w14:textId="77777777" w:rsidR="00511DC7" w:rsidRPr="0085658C" w:rsidRDefault="00511DC7" w:rsidP="00511DC7">
            <w:pPr>
              <w:pStyle w:val="NormalTable3pttopbottom"/>
              <w:rPr>
                <w:b/>
              </w:rPr>
            </w:pPr>
            <w:r w:rsidRPr="0085658C">
              <w:rPr>
                <w:b/>
              </w:rPr>
              <w:t>Included data</w:t>
            </w:r>
          </w:p>
          <w:p w14:paraId="0130107C" w14:textId="77777777" w:rsidR="00511DC7" w:rsidRPr="0085658C" w:rsidRDefault="00511DC7" w:rsidP="00511DC7">
            <w:pPr>
              <w:pStyle w:val="NormalTable3pttopbottom"/>
            </w:pPr>
            <w:r w:rsidRPr="0085658C">
              <w:t xml:space="preserve">Charged per KB.  Unused plan inclusion data does </w:t>
            </w:r>
            <w:r w:rsidRPr="0085658C">
              <w:rPr>
                <w:u w:val="single"/>
              </w:rPr>
              <w:t>not rollover</w:t>
            </w:r>
            <w:r w:rsidRPr="0085658C">
              <w:t xml:space="preserve"> even if you recharge before expiry.</w:t>
            </w:r>
          </w:p>
        </w:tc>
        <w:tc>
          <w:tcPr>
            <w:tcW w:w="709" w:type="dxa"/>
            <w:vAlign w:val="center"/>
          </w:tcPr>
          <w:p w14:paraId="0130107D" w14:textId="77777777" w:rsidR="00511DC7" w:rsidRPr="0085658C" w:rsidRDefault="00511DC7" w:rsidP="00511DC7">
            <w:pPr>
              <w:pStyle w:val="NormalTable3pttopbottom"/>
              <w:jc w:val="center"/>
            </w:pPr>
            <w:r>
              <w:t>10</w:t>
            </w:r>
            <w:r w:rsidRPr="00AE6B96">
              <w:t xml:space="preserve"> GB</w:t>
            </w:r>
          </w:p>
        </w:tc>
        <w:tc>
          <w:tcPr>
            <w:tcW w:w="709" w:type="dxa"/>
            <w:vAlign w:val="center"/>
          </w:tcPr>
          <w:p w14:paraId="0130107E" w14:textId="77777777" w:rsidR="00511DC7" w:rsidRPr="0085658C" w:rsidRDefault="00511DC7" w:rsidP="00511DC7">
            <w:pPr>
              <w:pStyle w:val="NormalTable3pttopbottom"/>
              <w:jc w:val="center"/>
            </w:pPr>
            <w:r>
              <w:t>30</w:t>
            </w:r>
            <w:r w:rsidRPr="00AE6B96">
              <w:t xml:space="preserve"> GB</w:t>
            </w:r>
          </w:p>
        </w:tc>
        <w:tc>
          <w:tcPr>
            <w:tcW w:w="709" w:type="dxa"/>
            <w:vAlign w:val="center"/>
          </w:tcPr>
          <w:p w14:paraId="0130107F" w14:textId="77777777" w:rsidR="00511DC7" w:rsidRPr="0085658C" w:rsidRDefault="00511DC7" w:rsidP="00511DC7">
            <w:pPr>
              <w:pStyle w:val="NormalTable3pttopbottom"/>
              <w:jc w:val="center"/>
            </w:pPr>
            <w:r>
              <w:t>60GB</w:t>
            </w:r>
          </w:p>
        </w:tc>
        <w:tc>
          <w:tcPr>
            <w:tcW w:w="709" w:type="dxa"/>
            <w:vAlign w:val="center"/>
          </w:tcPr>
          <w:p w14:paraId="01301080" w14:textId="77777777" w:rsidR="00511DC7" w:rsidRPr="0085658C" w:rsidRDefault="00511DC7" w:rsidP="00511DC7">
            <w:pPr>
              <w:pStyle w:val="NormalTable3pttopbottom"/>
              <w:jc w:val="center"/>
            </w:pPr>
            <w:r>
              <w:t>100GB</w:t>
            </w:r>
          </w:p>
        </w:tc>
        <w:tc>
          <w:tcPr>
            <w:tcW w:w="709" w:type="dxa"/>
            <w:vAlign w:val="center"/>
          </w:tcPr>
          <w:p w14:paraId="01301081" w14:textId="77777777" w:rsidR="00511DC7" w:rsidRPr="00FA0863" w:rsidRDefault="00511DC7" w:rsidP="00511DC7">
            <w:pPr>
              <w:pStyle w:val="NormalTable3pttopbottom"/>
              <w:jc w:val="center"/>
              <w:rPr>
                <w:szCs w:val="16"/>
              </w:rPr>
            </w:pPr>
            <w:r>
              <w:t>150GB</w:t>
            </w:r>
          </w:p>
        </w:tc>
      </w:tr>
      <w:tr w:rsidR="00511DC7" w:rsidRPr="0085658C" w14:paraId="01301085" w14:textId="77777777" w:rsidTr="00485815">
        <w:tc>
          <w:tcPr>
            <w:tcW w:w="993" w:type="dxa"/>
          </w:tcPr>
          <w:p w14:paraId="01301083" w14:textId="77777777" w:rsidR="00511DC7" w:rsidRPr="0085658C" w:rsidRDefault="00511DC7" w:rsidP="0085658C">
            <w:pPr>
              <w:pStyle w:val="NormalTable3pttopbottom"/>
              <w:rPr>
                <w:b/>
              </w:rPr>
            </w:pPr>
            <w:r w:rsidRPr="0085658C">
              <w:rPr>
                <w:b/>
              </w:rPr>
              <w:t>Expiry</w:t>
            </w:r>
          </w:p>
        </w:tc>
        <w:tc>
          <w:tcPr>
            <w:tcW w:w="709" w:type="dxa"/>
            <w:gridSpan w:val="5"/>
            <w:vAlign w:val="center"/>
          </w:tcPr>
          <w:p w14:paraId="01301084" w14:textId="77777777" w:rsidR="00511DC7" w:rsidRPr="0085658C" w:rsidDel="008D3D54" w:rsidRDefault="00511DC7" w:rsidP="0085658C">
            <w:pPr>
              <w:pStyle w:val="NormalTable3pttopbottom"/>
              <w:jc w:val="center"/>
            </w:pPr>
            <w:r>
              <w:t>30</w:t>
            </w:r>
            <w:r w:rsidRPr="0085658C">
              <w:t xml:space="preserve"> days</w:t>
            </w:r>
          </w:p>
        </w:tc>
      </w:tr>
    </w:tbl>
    <w:p w14:paraId="01301088" w14:textId="07510A19" w:rsidR="006C12A6" w:rsidRPr="0085658C" w:rsidRDefault="006C12A6" w:rsidP="006C12A6">
      <w:r w:rsidRPr="0085658C">
        <w:rPr>
          <w:b/>
        </w:rPr>
        <w:t>Exclusions</w:t>
      </w:r>
      <w:r w:rsidRPr="0085658C">
        <w:br/>
      </w:r>
      <w:r w:rsidR="00511DC7">
        <w:t>Use of data outside Australia, and all data roaming, is not included with your plan.  You can purchase Catch Extras if you want to use the service overseas with data roaming.  Your service cannot be used to make or receive any calls (including video calls), SMS messages or MMS messages.</w:t>
      </w:r>
    </w:p>
    <w:p w14:paraId="3C84A3DA" w14:textId="77777777" w:rsidR="00296B49" w:rsidRDefault="00296B49" w:rsidP="003F790C">
      <w:pPr>
        <w:rPr>
          <w:b/>
        </w:rPr>
      </w:pPr>
    </w:p>
    <w:p w14:paraId="472CF555" w14:textId="77777777" w:rsidR="00296B49" w:rsidRDefault="00296B49" w:rsidP="003F790C">
      <w:pPr>
        <w:rPr>
          <w:b/>
        </w:rPr>
      </w:pPr>
    </w:p>
    <w:p w14:paraId="1F3B5021" w14:textId="77777777" w:rsidR="00296B49" w:rsidRDefault="00296B49" w:rsidP="003F790C">
      <w:pPr>
        <w:rPr>
          <w:b/>
        </w:rPr>
      </w:pPr>
    </w:p>
    <w:p w14:paraId="0FD53A54" w14:textId="77777777" w:rsidR="00296B49" w:rsidRDefault="00296B49" w:rsidP="003F790C">
      <w:pPr>
        <w:rPr>
          <w:b/>
        </w:rPr>
      </w:pPr>
    </w:p>
    <w:p w14:paraId="01301089" w14:textId="417DBD55" w:rsidR="00185E7A" w:rsidRPr="0085658C" w:rsidRDefault="00185E7A" w:rsidP="003F790C">
      <w:r w:rsidRPr="0085658C">
        <w:rPr>
          <w:b/>
        </w:rPr>
        <w:t>Extras</w:t>
      </w:r>
      <w:r w:rsidRPr="0085658C">
        <w:br/>
      </w:r>
      <w:r w:rsidR="00511DC7">
        <w:t xml:space="preserve">Catch Connect offers Data Extras and Catch Extras on 30 Day Prepaid data only plans.  </w:t>
      </w:r>
      <w:r w:rsidR="00511DC7" w:rsidRPr="00185E7A">
        <w:t>Extras</w:t>
      </w:r>
      <w:r w:rsidR="00511DC7">
        <w:t xml:space="preserve"> packs</w:t>
      </w:r>
      <w:r w:rsidR="00511DC7" w:rsidRPr="00185E7A">
        <w:t xml:space="preserve"> have their own expiry dates, and you can still use them if your standard plan inclusions have ex</w:t>
      </w:r>
      <w:r w:rsidR="00511DC7">
        <w:t>pired.</w:t>
      </w:r>
    </w:p>
    <w:tbl>
      <w:tblPr>
        <w:tblStyle w:val="TableText"/>
        <w:tblW w:w="4758" w:type="dxa"/>
        <w:tblLayout w:type="fixed"/>
        <w:tblLook w:val="04A0" w:firstRow="1" w:lastRow="0" w:firstColumn="1" w:lastColumn="0" w:noHBand="0" w:noVBand="1"/>
      </w:tblPr>
      <w:tblGrid>
        <w:gridCol w:w="2426"/>
        <w:gridCol w:w="964"/>
        <w:gridCol w:w="1368"/>
      </w:tblGrid>
      <w:tr w:rsidR="00D645CB" w:rsidRPr="0085658C" w14:paraId="0130108D" w14:textId="77777777" w:rsidTr="00296B49">
        <w:tc>
          <w:tcPr>
            <w:tcW w:w="2426" w:type="dxa"/>
          </w:tcPr>
          <w:p w14:paraId="0130108A" w14:textId="77777777" w:rsidR="00D645CB" w:rsidRPr="0085658C" w:rsidRDefault="00D645CB" w:rsidP="00D645CB">
            <w:pPr>
              <w:pStyle w:val="NormalTable3pttopbottom"/>
              <w:rPr>
                <w:b/>
              </w:rPr>
            </w:pPr>
            <w:r w:rsidRPr="0085658C">
              <w:rPr>
                <w:b/>
              </w:rPr>
              <w:t>Data Extras</w:t>
            </w:r>
          </w:p>
        </w:tc>
        <w:tc>
          <w:tcPr>
            <w:tcW w:w="964" w:type="dxa"/>
            <w:vAlign w:val="center"/>
          </w:tcPr>
          <w:p w14:paraId="0130108B" w14:textId="77777777" w:rsidR="00D645CB" w:rsidRPr="0085658C" w:rsidRDefault="00D645CB" w:rsidP="00D645CB">
            <w:pPr>
              <w:pStyle w:val="NormalTable3pttopbottom"/>
              <w:jc w:val="center"/>
              <w:rPr>
                <w:rFonts w:cs="Arial"/>
                <w:szCs w:val="16"/>
              </w:rPr>
            </w:pPr>
            <w:r w:rsidRPr="0085658C">
              <w:rPr>
                <w:rFonts w:cs="Arial"/>
                <w:szCs w:val="16"/>
              </w:rPr>
              <w:t>$10</w:t>
            </w:r>
          </w:p>
        </w:tc>
        <w:tc>
          <w:tcPr>
            <w:tcW w:w="1368" w:type="dxa"/>
            <w:vAlign w:val="center"/>
          </w:tcPr>
          <w:p w14:paraId="0130108C" w14:textId="77777777" w:rsidR="00D645CB" w:rsidRPr="0085658C" w:rsidRDefault="00D645CB" w:rsidP="00D645CB">
            <w:pPr>
              <w:pStyle w:val="NormalTable3pttopbottom"/>
              <w:jc w:val="center"/>
              <w:rPr>
                <w:rFonts w:cs="Arial"/>
                <w:szCs w:val="16"/>
              </w:rPr>
            </w:pPr>
            <w:r w:rsidRPr="0085658C">
              <w:rPr>
                <w:rFonts w:cs="Arial"/>
                <w:szCs w:val="16"/>
              </w:rPr>
              <w:t>$15</w:t>
            </w:r>
          </w:p>
        </w:tc>
      </w:tr>
      <w:tr w:rsidR="00D645CB" w:rsidRPr="0085658C" w14:paraId="01301092" w14:textId="77777777" w:rsidTr="00296B49">
        <w:tc>
          <w:tcPr>
            <w:tcW w:w="2426" w:type="dxa"/>
          </w:tcPr>
          <w:p w14:paraId="0130108E" w14:textId="77777777" w:rsidR="00D645CB" w:rsidRPr="0085658C" w:rsidRDefault="00D645CB" w:rsidP="00D645CB">
            <w:pPr>
              <w:pStyle w:val="NormalTable3pttopbottom"/>
              <w:rPr>
                <w:b/>
              </w:rPr>
            </w:pPr>
            <w:r w:rsidRPr="0085658C">
              <w:rPr>
                <w:b/>
              </w:rPr>
              <w:t>Included value</w:t>
            </w:r>
          </w:p>
          <w:p w14:paraId="0130108F" w14:textId="77777777" w:rsidR="00D645CB" w:rsidRPr="0085658C" w:rsidRDefault="00574C70" w:rsidP="009B5802">
            <w:pPr>
              <w:pStyle w:val="NormalTable3pttopbottom"/>
            </w:pPr>
            <w:r w:rsidRPr="0085658C">
              <w:t xml:space="preserve">Data Extras can be used for data in Australia. </w:t>
            </w:r>
            <w:r w:rsidR="003F790C" w:rsidRPr="0085658C">
              <w:t xml:space="preserve"> </w:t>
            </w:r>
            <w:r w:rsidR="00D645CB" w:rsidRPr="0085658C">
              <w:t xml:space="preserve">Charged per KB. </w:t>
            </w:r>
            <w:r w:rsidR="003F790C" w:rsidRPr="0085658C">
              <w:t xml:space="preserve"> </w:t>
            </w:r>
            <w:r w:rsidR="00D645CB" w:rsidRPr="0085658C">
              <w:t xml:space="preserve">Unused Data Extras credit can be rolled over, up to a maximum of 20GB, if you add additional Data Extras to your service before the expiry of your current Data Extras pack. </w:t>
            </w:r>
            <w:r w:rsidR="003F790C" w:rsidRPr="0085658C">
              <w:t xml:space="preserve"> </w:t>
            </w:r>
            <w:r w:rsidR="00D645CB" w:rsidRPr="0085658C">
              <w:t xml:space="preserve">Data Extras are used before </w:t>
            </w:r>
            <w:r w:rsidR="009B5802" w:rsidRPr="0085658C">
              <w:t>any data included in your plan.</w:t>
            </w:r>
          </w:p>
        </w:tc>
        <w:tc>
          <w:tcPr>
            <w:tcW w:w="964" w:type="dxa"/>
            <w:vAlign w:val="center"/>
          </w:tcPr>
          <w:p w14:paraId="01301090" w14:textId="77777777" w:rsidR="00D645CB" w:rsidRPr="0085658C" w:rsidRDefault="00D645CB" w:rsidP="00D645CB">
            <w:pPr>
              <w:pStyle w:val="NormalTable3pttopbottom"/>
              <w:jc w:val="center"/>
              <w:rPr>
                <w:rFonts w:cs="Arial"/>
                <w:szCs w:val="16"/>
              </w:rPr>
            </w:pPr>
            <w:r w:rsidRPr="0085658C">
              <w:rPr>
                <w:rFonts w:cs="Arial"/>
                <w:szCs w:val="16"/>
              </w:rPr>
              <w:t>1 GB</w:t>
            </w:r>
          </w:p>
        </w:tc>
        <w:tc>
          <w:tcPr>
            <w:tcW w:w="1368" w:type="dxa"/>
            <w:vAlign w:val="center"/>
          </w:tcPr>
          <w:p w14:paraId="01301091" w14:textId="77777777" w:rsidR="00D645CB" w:rsidRPr="0085658C" w:rsidRDefault="00D645CB" w:rsidP="00D645CB">
            <w:pPr>
              <w:pStyle w:val="NormalTable3pttopbottom"/>
              <w:jc w:val="center"/>
              <w:rPr>
                <w:rFonts w:cs="Arial"/>
                <w:szCs w:val="16"/>
              </w:rPr>
            </w:pPr>
            <w:r w:rsidRPr="0085658C">
              <w:rPr>
                <w:rFonts w:cs="Arial"/>
                <w:szCs w:val="16"/>
              </w:rPr>
              <w:t>2 GB</w:t>
            </w:r>
          </w:p>
        </w:tc>
      </w:tr>
      <w:tr w:rsidR="00D645CB" w:rsidRPr="0085658C" w14:paraId="01301096" w14:textId="77777777" w:rsidTr="00296B49">
        <w:tc>
          <w:tcPr>
            <w:tcW w:w="2426" w:type="dxa"/>
          </w:tcPr>
          <w:p w14:paraId="01301093" w14:textId="77777777" w:rsidR="00D645CB" w:rsidRPr="0085658C" w:rsidRDefault="00D645CB" w:rsidP="00D645CB">
            <w:pPr>
              <w:pStyle w:val="NormalTable3pttopbottom"/>
              <w:rPr>
                <w:b/>
              </w:rPr>
            </w:pPr>
            <w:r w:rsidRPr="0085658C">
              <w:rPr>
                <w:b/>
              </w:rPr>
              <w:t>Expiry</w:t>
            </w:r>
          </w:p>
        </w:tc>
        <w:tc>
          <w:tcPr>
            <w:tcW w:w="964" w:type="dxa"/>
            <w:vAlign w:val="center"/>
          </w:tcPr>
          <w:p w14:paraId="01301094" w14:textId="77777777" w:rsidR="00D645CB" w:rsidRPr="0085658C" w:rsidRDefault="00D645CB" w:rsidP="00D645CB">
            <w:pPr>
              <w:pStyle w:val="NormalTable3pttopbottom"/>
              <w:jc w:val="center"/>
              <w:rPr>
                <w:rFonts w:cs="Arial"/>
                <w:szCs w:val="16"/>
              </w:rPr>
            </w:pPr>
            <w:r w:rsidRPr="0085658C">
              <w:rPr>
                <w:rFonts w:cs="Arial"/>
                <w:szCs w:val="16"/>
              </w:rPr>
              <w:t>30 days</w:t>
            </w:r>
          </w:p>
        </w:tc>
        <w:tc>
          <w:tcPr>
            <w:tcW w:w="1368" w:type="dxa"/>
            <w:vAlign w:val="center"/>
          </w:tcPr>
          <w:p w14:paraId="01301095" w14:textId="77777777" w:rsidR="00D645CB" w:rsidRPr="0085658C" w:rsidRDefault="00D645CB" w:rsidP="00D645CB">
            <w:pPr>
              <w:pStyle w:val="NormalTable3pttopbottom"/>
              <w:jc w:val="center"/>
              <w:rPr>
                <w:rFonts w:cs="Arial"/>
                <w:szCs w:val="16"/>
              </w:rPr>
            </w:pPr>
            <w:r w:rsidRPr="0085658C">
              <w:rPr>
                <w:rFonts w:cs="Arial"/>
                <w:szCs w:val="16"/>
              </w:rPr>
              <w:t>30 days</w:t>
            </w:r>
          </w:p>
        </w:tc>
      </w:tr>
    </w:tbl>
    <w:p w14:paraId="0130109F" w14:textId="395771AF" w:rsidR="00D645CB" w:rsidRDefault="00D645CB" w:rsidP="00574C70">
      <w:pPr>
        <w:spacing w:before="0" w:after="0"/>
      </w:pPr>
    </w:p>
    <w:p w14:paraId="6AB11F36" w14:textId="77777777" w:rsidR="00296B49" w:rsidRPr="0085658C" w:rsidRDefault="00296B49" w:rsidP="00574C70">
      <w:pPr>
        <w:spacing w:before="0" w:after="0"/>
      </w:pPr>
    </w:p>
    <w:tbl>
      <w:tblPr>
        <w:tblStyle w:val="TableText"/>
        <w:tblW w:w="4758" w:type="dxa"/>
        <w:tblLayout w:type="fixed"/>
        <w:tblLook w:val="04A0" w:firstRow="1" w:lastRow="0" w:firstColumn="1" w:lastColumn="0" w:noHBand="0" w:noVBand="1"/>
      </w:tblPr>
      <w:tblGrid>
        <w:gridCol w:w="2426"/>
        <w:gridCol w:w="2332"/>
      </w:tblGrid>
      <w:tr w:rsidR="00574C70" w:rsidRPr="0085658C" w14:paraId="013010A1" w14:textId="77777777" w:rsidTr="00296B49">
        <w:tc>
          <w:tcPr>
            <w:tcW w:w="4758" w:type="dxa"/>
            <w:gridSpan w:val="2"/>
          </w:tcPr>
          <w:p w14:paraId="013010A0" w14:textId="77777777" w:rsidR="00574C70" w:rsidRPr="0085658C" w:rsidRDefault="00574C70" w:rsidP="00574C70">
            <w:pPr>
              <w:pStyle w:val="NormalTable3pttopbottom"/>
              <w:keepNext/>
            </w:pPr>
            <w:r w:rsidRPr="0085658C">
              <w:rPr>
                <w:b/>
              </w:rPr>
              <w:t>Catch Extras</w:t>
            </w:r>
          </w:p>
        </w:tc>
      </w:tr>
      <w:tr w:rsidR="00574C70" w:rsidRPr="0085658C" w14:paraId="013010A7" w14:textId="77777777" w:rsidTr="00296B49">
        <w:trPr>
          <w:trHeight w:val="3205"/>
        </w:trPr>
        <w:tc>
          <w:tcPr>
            <w:tcW w:w="2426" w:type="dxa"/>
          </w:tcPr>
          <w:p w14:paraId="013010A2" w14:textId="77777777" w:rsidR="00574C70" w:rsidRPr="0085658C" w:rsidRDefault="00574C70" w:rsidP="00663FE1">
            <w:pPr>
              <w:pStyle w:val="NormalTable3pttopbottom"/>
              <w:rPr>
                <w:b/>
              </w:rPr>
            </w:pPr>
            <w:r w:rsidRPr="0085658C">
              <w:rPr>
                <w:b/>
              </w:rPr>
              <w:t>Included value</w:t>
            </w:r>
          </w:p>
          <w:p w14:paraId="013010A3" w14:textId="77777777" w:rsidR="00574C70" w:rsidRPr="0085658C" w:rsidRDefault="00574C70" w:rsidP="00574C70">
            <w:pPr>
              <w:pStyle w:val="NormalTable3pttopbottom"/>
              <w:keepNext/>
            </w:pPr>
            <w:r w:rsidRPr="0085658C">
              <w:t xml:space="preserve">Catch Extras credit can be used for standard international calls and SMS/MMS, international roaming, and selected premium services.  Calls charged per minute.  Excludes video </w:t>
            </w:r>
            <w:r w:rsidR="008D7388" w:rsidRPr="0085658C">
              <w:t xml:space="preserve">calls, premium </w:t>
            </w:r>
            <w:r w:rsidRPr="0085658C">
              <w:t xml:space="preserve">calls, overseas premium and overseas toll-free services.  </w:t>
            </w:r>
          </w:p>
          <w:p w14:paraId="013010A4" w14:textId="77777777" w:rsidR="00574C70" w:rsidRPr="0085658C" w:rsidRDefault="00574C70" w:rsidP="00574C70">
            <w:pPr>
              <w:pStyle w:val="NormalTable3pttopbottom"/>
            </w:pPr>
            <w:r w:rsidRPr="0085658C">
              <w:t>Catch Extras credit can be rolled over, up to a maximum of $500, if you add additional Catch Extras credit to your service before the expiry date of your current Catch Extras credit.</w:t>
            </w:r>
          </w:p>
          <w:p w14:paraId="013010A5" w14:textId="77777777" w:rsidR="00574C70" w:rsidRPr="0085658C" w:rsidRDefault="00574C70" w:rsidP="003A371B">
            <w:pPr>
              <w:pStyle w:val="NormalTable3pttopbottom"/>
            </w:pPr>
            <w:r w:rsidRPr="0085658C">
              <w:t xml:space="preserve">All use outside Australia incurs </w:t>
            </w:r>
            <w:r w:rsidR="003A371B" w:rsidRPr="0085658C">
              <w:t>international roaming</w:t>
            </w:r>
            <w:r w:rsidRPr="0085658C">
              <w:t xml:space="preserve"> charges.</w:t>
            </w:r>
          </w:p>
        </w:tc>
        <w:tc>
          <w:tcPr>
            <w:tcW w:w="2332" w:type="dxa"/>
            <w:vAlign w:val="center"/>
          </w:tcPr>
          <w:p w14:paraId="013010A6" w14:textId="77777777" w:rsidR="00574C70" w:rsidRPr="0085658C" w:rsidRDefault="00574C70" w:rsidP="00574C70">
            <w:pPr>
              <w:pStyle w:val="NormalTable3pttopbottom"/>
              <w:jc w:val="center"/>
            </w:pPr>
            <w:r w:rsidRPr="0085658C">
              <w:t>$5, $10, $20 and $50 recharge options</w:t>
            </w:r>
          </w:p>
        </w:tc>
      </w:tr>
      <w:tr w:rsidR="00574C70" w:rsidRPr="0085658C" w14:paraId="013010AA" w14:textId="77777777" w:rsidTr="00296B49">
        <w:tc>
          <w:tcPr>
            <w:tcW w:w="2426" w:type="dxa"/>
          </w:tcPr>
          <w:p w14:paraId="013010A8" w14:textId="77777777" w:rsidR="00574C70" w:rsidRPr="0085658C" w:rsidRDefault="00574C70" w:rsidP="00663FE1">
            <w:pPr>
              <w:pStyle w:val="NormalTable3pttopbottom"/>
              <w:rPr>
                <w:b/>
              </w:rPr>
            </w:pPr>
            <w:r w:rsidRPr="0085658C">
              <w:rPr>
                <w:b/>
              </w:rPr>
              <w:t>Expiry</w:t>
            </w:r>
          </w:p>
        </w:tc>
        <w:tc>
          <w:tcPr>
            <w:tcW w:w="2332" w:type="dxa"/>
            <w:vAlign w:val="center"/>
          </w:tcPr>
          <w:p w14:paraId="013010A9" w14:textId="77777777" w:rsidR="00574C70" w:rsidRPr="0085658C" w:rsidRDefault="00574C70" w:rsidP="00663FE1">
            <w:pPr>
              <w:pStyle w:val="NormalTable3pttopbottom"/>
              <w:jc w:val="center"/>
            </w:pPr>
            <w:r w:rsidRPr="0085658C">
              <w:t>30 days</w:t>
            </w:r>
          </w:p>
        </w:tc>
      </w:tr>
      <w:tr w:rsidR="00574C70" w:rsidRPr="0085658C" w14:paraId="013010AC" w14:textId="77777777" w:rsidTr="00296B49">
        <w:tc>
          <w:tcPr>
            <w:tcW w:w="4758" w:type="dxa"/>
            <w:gridSpan w:val="2"/>
          </w:tcPr>
          <w:p w14:paraId="013010AB" w14:textId="77777777" w:rsidR="00574C70" w:rsidRPr="0085658C" w:rsidRDefault="00574C70" w:rsidP="00574C70">
            <w:pPr>
              <w:pStyle w:val="NormalTable3pttopbottom"/>
              <w:rPr>
                <w:b/>
              </w:rPr>
            </w:pPr>
            <w:r w:rsidRPr="0085658C">
              <w:rPr>
                <w:b/>
              </w:rPr>
              <w:t>Catch Extras Rates</w:t>
            </w:r>
          </w:p>
        </w:tc>
      </w:tr>
      <w:tr w:rsidR="00545BB8" w:rsidRPr="0085658C" w14:paraId="013010AF" w14:textId="77777777" w:rsidTr="00296B49">
        <w:tc>
          <w:tcPr>
            <w:tcW w:w="2426" w:type="dxa"/>
          </w:tcPr>
          <w:p w14:paraId="013010AD" w14:textId="77777777" w:rsidR="00545BB8" w:rsidRPr="0085658C" w:rsidRDefault="00545BB8" w:rsidP="00545BB8">
            <w:pPr>
              <w:pStyle w:val="NormalTable3pttopbottom"/>
            </w:pPr>
            <w:r w:rsidRPr="0085658C">
              <w:rPr>
                <w:szCs w:val="16"/>
              </w:rPr>
              <w:t>Standard national calls to 13/1300 numbers</w:t>
            </w:r>
          </w:p>
        </w:tc>
        <w:tc>
          <w:tcPr>
            <w:tcW w:w="2332" w:type="dxa"/>
          </w:tcPr>
          <w:p w14:paraId="013010AE" w14:textId="77777777" w:rsidR="00545BB8" w:rsidRPr="0085658C" w:rsidRDefault="00545BB8" w:rsidP="00545BB8">
            <w:pPr>
              <w:pStyle w:val="NormalTable3pttopbottom"/>
              <w:jc w:val="center"/>
            </w:pPr>
            <w:r w:rsidRPr="0085658C">
              <w:rPr>
                <w:szCs w:val="16"/>
              </w:rPr>
              <w:t>29c per minute</w:t>
            </w:r>
          </w:p>
        </w:tc>
      </w:tr>
      <w:tr w:rsidR="00574C70" w:rsidRPr="0085658C" w14:paraId="013010B2" w14:textId="77777777" w:rsidTr="00296B49">
        <w:tc>
          <w:tcPr>
            <w:tcW w:w="2426" w:type="dxa"/>
          </w:tcPr>
          <w:p w14:paraId="013010B0" w14:textId="77777777" w:rsidR="00574C70" w:rsidRPr="0085658C" w:rsidRDefault="00574C70" w:rsidP="00EB0F78">
            <w:pPr>
              <w:pStyle w:val="NormalTable3pttopbottom"/>
            </w:pPr>
            <w:r w:rsidRPr="0085658C">
              <w:t>Standard international SMS</w:t>
            </w:r>
          </w:p>
        </w:tc>
        <w:tc>
          <w:tcPr>
            <w:tcW w:w="2332" w:type="dxa"/>
          </w:tcPr>
          <w:p w14:paraId="013010B1" w14:textId="77777777" w:rsidR="00574C70" w:rsidRPr="0085658C" w:rsidRDefault="00545BB8" w:rsidP="00EB0F78">
            <w:pPr>
              <w:pStyle w:val="NormalTable3pttopbottom"/>
              <w:jc w:val="center"/>
            </w:pPr>
            <w:r w:rsidRPr="0085658C">
              <w:t>25</w:t>
            </w:r>
            <w:r w:rsidR="00574C70" w:rsidRPr="0085658C">
              <w:t xml:space="preserve">c per </w:t>
            </w:r>
            <w:r w:rsidR="00EB0F78" w:rsidRPr="0085658C">
              <w:t>160 characters</w:t>
            </w:r>
          </w:p>
        </w:tc>
      </w:tr>
      <w:tr w:rsidR="00EB0F78" w:rsidRPr="0085658C" w14:paraId="013010B5" w14:textId="77777777" w:rsidTr="00296B49">
        <w:tc>
          <w:tcPr>
            <w:tcW w:w="2426" w:type="dxa"/>
          </w:tcPr>
          <w:p w14:paraId="013010B3" w14:textId="77777777" w:rsidR="00EB0F78" w:rsidRPr="0085658C" w:rsidRDefault="00EB0F78" w:rsidP="00574C70">
            <w:pPr>
              <w:pStyle w:val="NormalTable3pttopbottom"/>
            </w:pPr>
            <w:r w:rsidRPr="0085658C">
              <w:t>Standard international MMS</w:t>
            </w:r>
          </w:p>
        </w:tc>
        <w:tc>
          <w:tcPr>
            <w:tcW w:w="2332" w:type="dxa"/>
          </w:tcPr>
          <w:p w14:paraId="013010B4" w14:textId="77777777" w:rsidR="00EB0F78" w:rsidRPr="0085658C" w:rsidRDefault="00545BB8" w:rsidP="00EB0F78">
            <w:pPr>
              <w:pStyle w:val="NormalTable3pttopbottom"/>
              <w:jc w:val="center"/>
            </w:pPr>
            <w:r w:rsidRPr="0085658C">
              <w:t>75</w:t>
            </w:r>
            <w:r w:rsidR="00EB0F78" w:rsidRPr="0085658C">
              <w:t>c per MMS</w:t>
            </w:r>
          </w:p>
        </w:tc>
      </w:tr>
      <w:tr w:rsidR="00574C70" w:rsidRPr="0085658C" w14:paraId="013010B8" w14:textId="77777777" w:rsidTr="00296B49">
        <w:tc>
          <w:tcPr>
            <w:tcW w:w="2426" w:type="dxa"/>
          </w:tcPr>
          <w:p w14:paraId="013010B6" w14:textId="77777777" w:rsidR="00574C70" w:rsidRPr="0085658C" w:rsidRDefault="00574C70" w:rsidP="003F790C">
            <w:pPr>
              <w:pStyle w:val="NormalTable3pttopbottom"/>
            </w:pPr>
            <w:r w:rsidRPr="0085658C">
              <w:t xml:space="preserve">Standard international calls </w:t>
            </w:r>
          </w:p>
        </w:tc>
        <w:tc>
          <w:tcPr>
            <w:tcW w:w="2332" w:type="dxa"/>
          </w:tcPr>
          <w:p w14:paraId="013010B7" w14:textId="77777777" w:rsidR="00574C70" w:rsidRPr="0085658C" w:rsidRDefault="00574C70" w:rsidP="00663FE1">
            <w:pPr>
              <w:pStyle w:val="NormalTable3pttopbottom"/>
              <w:jc w:val="center"/>
            </w:pPr>
            <w:r w:rsidRPr="0085658C">
              <w:t xml:space="preserve">Varies.  See </w:t>
            </w:r>
            <w:hyperlink r:id="rId10" w:history="1">
              <w:r w:rsidRPr="0085658C">
                <w:rPr>
                  <w:rStyle w:val="Hyperlink"/>
                </w:rPr>
                <w:t>Appendix J</w:t>
              </w:r>
            </w:hyperlink>
          </w:p>
        </w:tc>
      </w:tr>
      <w:tr w:rsidR="00EB0F78" w:rsidRPr="0085658C" w14:paraId="013010BB" w14:textId="77777777" w:rsidTr="00296B49">
        <w:tc>
          <w:tcPr>
            <w:tcW w:w="2426" w:type="dxa"/>
          </w:tcPr>
          <w:p w14:paraId="013010B9" w14:textId="77777777" w:rsidR="00EB0F78" w:rsidRPr="0085658C" w:rsidRDefault="00EB0F78" w:rsidP="00574C70">
            <w:pPr>
              <w:pStyle w:val="NormalTable3pttopbottom"/>
            </w:pPr>
            <w:r w:rsidRPr="0085658C">
              <w:t>Premium</w:t>
            </w:r>
            <w:r w:rsidR="008D7388" w:rsidRPr="0085658C">
              <w:t xml:space="preserve"> SMS</w:t>
            </w:r>
          </w:p>
        </w:tc>
        <w:tc>
          <w:tcPr>
            <w:tcW w:w="2332" w:type="dxa"/>
          </w:tcPr>
          <w:p w14:paraId="013010BA" w14:textId="77777777" w:rsidR="00EB0F78" w:rsidRPr="0085658C" w:rsidRDefault="00EB0F78" w:rsidP="00663FE1">
            <w:pPr>
              <w:pStyle w:val="NormalTable3pttopbottom"/>
              <w:jc w:val="center"/>
            </w:pPr>
            <w:r w:rsidRPr="0085658C">
              <w:t>Varies per service provider</w:t>
            </w:r>
          </w:p>
        </w:tc>
      </w:tr>
      <w:tr w:rsidR="00EB0F78" w:rsidRPr="0085658C" w14:paraId="013010BE" w14:textId="77777777" w:rsidTr="00296B49">
        <w:tc>
          <w:tcPr>
            <w:tcW w:w="2426" w:type="dxa"/>
          </w:tcPr>
          <w:p w14:paraId="013010BC" w14:textId="77777777" w:rsidR="00EB0F78" w:rsidRPr="0085658C" w:rsidRDefault="008D24DF" w:rsidP="008D24DF">
            <w:pPr>
              <w:pStyle w:val="NormalTable3pttopbottom"/>
            </w:pPr>
            <w:r w:rsidRPr="0085658C">
              <w:t>International r</w:t>
            </w:r>
            <w:r w:rsidR="00EB0F78" w:rsidRPr="0085658C">
              <w:t>oaming</w:t>
            </w:r>
          </w:p>
        </w:tc>
        <w:tc>
          <w:tcPr>
            <w:tcW w:w="2332" w:type="dxa"/>
          </w:tcPr>
          <w:p w14:paraId="013010BD" w14:textId="77777777" w:rsidR="00EB0F78" w:rsidRPr="0085658C" w:rsidRDefault="00EB0F78" w:rsidP="00663FE1">
            <w:pPr>
              <w:pStyle w:val="NormalTable3pttopbottom"/>
              <w:jc w:val="center"/>
            </w:pPr>
            <w:r w:rsidRPr="0085658C">
              <w:t xml:space="preserve">Varies.  See </w:t>
            </w:r>
            <w:hyperlink r:id="rId11" w:history="1">
              <w:r w:rsidRPr="0085658C">
                <w:rPr>
                  <w:rStyle w:val="Hyperlink"/>
                </w:rPr>
                <w:t>roaming pricing</w:t>
              </w:r>
            </w:hyperlink>
          </w:p>
        </w:tc>
      </w:tr>
    </w:tbl>
    <w:p w14:paraId="66961AC9" w14:textId="77777777" w:rsidR="00296B49" w:rsidRDefault="00296B49" w:rsidP="007C052D"/>
    <w:p w14:paraId="013010BF" w14:textId="6DDD8722" w:rsidR="007C052D" w:rsidRPr="0085658C" w:rsidRDefault="007C052D" w:rsidP="007C052D">
      <w:r w:rsidRPr="0085658C">
        <w:t>If you have any unexpired Catch Extras balance remaining after your relevant Prepaid Plan standard inclusions and Data Extras or International Extras packs have expired or been fully used up, you will be charged the following rates for these usage types:</w:t>
      </w:r>
    </w:p>
    <w:tbl>
      <w:tblPr>
        <w:tblStyle w:val="TableText"/>
        <w:tblW w:w="0" w:type="auto"/>
        <w:tblLook w:val="04A0" w:firstRow="1" w:lastRow="0" w:firstColumn="1" w:lastColumn="0" w:noHBand="0" w:noVBand="1"/>
      </w:tblPr>
      <w:tblGrid>
        <w:gridCol w:w="2410"/>
        <w:gridCol w:w="2206"/>
      </w:tblGrid>
      <w:tr w:rsidR="00EB0F78" w:rsidRPr="0085658C" w14:paraId="013010C2" w14:textId="77777777" w:rsidTr="00296B49">
        <w:tc>
          <w:tcPr>
            <w:tcW w:w="2410" w:type="dxa"/>
          </w:tcPr>
          <w:p w14:paraId="013010C0" w14:textId="77777777" w:rsidR="00EB0F78" w:rsidRPr="0085658C" w:rsidRDefault="00EB0F78" w:rsidP="00EB0F78">
            <w:pPr>
              <w:pStyle w:val="NormalTable3pttopbottom"/>
            </w:pPr>
            <w:r w:rsidRPr="0085658C">
              <w:t xml:space="preserve">Calls to standard Australian mobiles and landlines and </w:t>
            </w:r>
            <w:r w:rsidR="006B4AE0" w:rsidRPr="0085658C">
              <w:t>v</w:t>
            </w:r>
            <w:r w:rsidRPr="0085658C">
              <w:t xml:space="preserve">oicemail </w:t>
            </w:r>
            <w:r w:rsidR="006B4AE0" w:rsidRPr="0085658C">
              <w:rPr>
                <w:szCs w:val="16"/>
              </w:rPr>
              <w:t>retrieval within Australia</w:t>
            </w:r>
            <w:r w:rsidR="006B4AE0" w:rsidRPr="0085658C">
              <w:t xml:space="preserve"> </w:t>
            </w:r>
          </w:p>
        </w:tc>
        <w:tc>
          <w:tcPr>
            <w:tcW w:w="2206" w:type="dxa"/>
            <w:vAlign w:val="center"/>
          </w:tcPr>
          <w:p w14:paraId="013010C1" w14:textId="387933AA" w:rsidR="00EB0F78" w:rsidRPr="0085658C" w:rsidRDefault="00EB0F78" w:rsidP="00EB0F78">
            <w:pPr>
              <w:pStyle w:val="NormalTable3pttopbottom"/>
              <w:jc w:val="center"/>
            </w:pPr>
            <w:r w:rsidRPr="0085658C">
              <w:t xml:space="preserve">12c per minute (no </w:t>
            </w:r>
            <w:r w:rsidR="00870F94" w:rsidRPr="0085658C">
              <w:t>flag fall</w:t>
            </w:r>
            <w:r w:rsidRPr="0085658C">
              <w:t>)</w:t>
            </w:r>
          </w:p>
        </w:tc>
      </w:tr>
      <w:tr w:rsidR="000D6891" w:rsidRPr="0085658C" w14:paraId="013010C5" w14:textId="77777777" w:rsidTr="00296B49">
        <w:tc>
          <w:tcPr>
            <w:tcW w:w="2410" w:type="dxa"/>
          </w:tcPr>
          <w:p w14:paraId="013010C3" w14:textId="77777777" w:rsidR="000D6891" w:rsidRPr="0085658C" w:rsidRDefault="000D6891" w:rsidP="000D6891">
            <w:pPr>
              <w:pStyle w:val="NormalTable3pttopbottom"/>
            </w:pPr>
            <w:r w:rsidRPr="0085658C">
              <w:rPr>
                <w:szCs w:val="16"/>
              </w:rPr>
              <w:t>Calls to 13/1300 numbers</w:t>
            </w:r>
          </w:p>
        </w:tc>
        <w:tc>
          <w:tcPr>
            <w:tcW w:w="2206" w:type="dxa"/>
            <w:vAlign w:val="center"/>
          </w:tcPr>
          <w:p w14:paraId="013010C4" w14:textId="77777777" w:rsidR="000D6891" w:rsidRPr="0085658C" w:rsidRDefault="000D6891" w:rsidP="000D6891">
            <w:pPr>
              <w:pStyle w:val="NormalTable3pttopbottom"/>
              <w:jc w:val="center"/>
            </w:pPr>
            <w:r w:rsidRPr="0085658C">
              <w:rPr>
                <w:szCs w:val="16"/>
              </w:rPr>
              <w:t>29c per minute</w:t>
            </w:r>
          </w:p>
        </w:tc>
      </w:tr>
      <w:tr w:rsidR="006B4AE0" w:rsidRPr="0085658C" w14:paraId="013010C8" w14:textId="77777777" w:rsidTr="00296B49">
        <w:tc>
          <w:tcPr>
            <w:tcW w:w="2410" w:type="dxa"/>
          </w:tcPr>
          <w:p w14:paraId="013010C6" w14:textId="77777777" w:rsidR="006B4AE0" w:rsidRPr="0085658C" w:rsidRDefault="006B4AE0" w:rsidP="006B4AE0">
            <w:pPr>
              <w:pStyle w:val="NormalTable3pttopbottom"/>
            </w:pPr>
            <w:r w:rsidRPr="0085658C">
              <w:t>Voicemail retrieval from outside of Australia</w:t>
            </w:r>
          </w:p>
        </w:tc>
        <w:tc>
          <w:tcPr>
            <w:tcW w:w="2206" w:type="dxa"/>
            <w:vAlign w:val="center"/>
          </w:tcPr>
          <w:p w14:paraId="013010C7" w14:textId="77777777" w:rsidR="006B4AE0" w:rsidRPr="0085658C" w:rsidRDefault="006B4AE0" w:rsidP="006B4AE0">
            <w:pPr>
              <w:pStyle w:val="NormalTable3pttopbottom"/>
              <w:jc w:val="center"/>
            </w:pPr>
            <w:r w:rsidRPr="0085658C">
              <w:t xml:space="preserve">See  </w:t>
            </w:r>
            <w:hyperlink r:id="rId12" w:history="1">
              <w:r w:rsidRPr="0085658C">
                <w:rPr>
                  <w:rStyle w:val="Hyperlink"/>
                </w:rPr>
                <w:t>roaming pricing</w:t>
              </w:r>
            </w:hyperlink>
          </w:p>
        </w:tc>
      </w:tr>
      <w:tr w:rsidR="00EB0F78" w:rsidRPr="0085658C" w14:paraId="013010CB" w14:textId="77777777" w:rsidTr="00296B49">
        <w:tc>
          <w:tcPr>
            <w:tcW w:w="2410" w:type="dxa"/>
          </w:tcPr>
          <w:p w14:paraId="013010C9" w14:textId="77777777" w:rsidR="00EB0F78" w:rsidRPr="0085658C" w:rsidRDefault="00EB0F78" w:rsidP="00EB0F78">
            <w:pPr>
              <w:pStyle w:val="NormalTable3pttopbottom"/>
            </w:pPr>
            <w:r w:rsidRPr="0085658C">
              <w:t>Standard national SMS</w:t>
            </w:r>
          </w:p>
        </w:tc>
        <w:tc>
          <w:tcPr>
            <w:tcW w:w="2206" w:type="dxa"/>
            <w:vAlign w:val="center"/>
          </w:tcPr>
          <w:p w14:paraId="013010CA" w14:textId="77777777" w:rsidR="00EB0F78" w:rsidRPr="0085658C" w:rsidRDefault="00EB0F78" w:rsidP="00EB0F78">
            <w:pPr>
              <w:pStyle w:val="NormalTable3pttopbottom"/>
              <w:jc w:val="center"/>
            </w:pPr>
            <w:r w:rsidRPr="0085658C">
              <w:t>12c per 160 characters</w:t>
            </w:r>
          </w:p>
        </w:tc>
      </w:tr>
      <w:tr w:rsidR="00EB0F78" w:rsidRPr="0085658C" w14:paraId="013010CE" w14:textId="77777777" w:rsidTr="00296B49">
        <w:tc>
          <w:tcPr>
            <w:tcW w:w="2410" w:type="dxa"/>
          </w:tcPr>
          <w:p w14:paraId="013010CC" w14:textId="77777777" w:rsidR="00EB0F78" w:rsidRPr="0085658C" w:rsidRDefault="00EB0F78" w:rsidP="00EB0F78">
            <w:pPr>
              <w:pStyle w:val="NormalTable3pttopbottom"/>
            </w:pPr>
            <w:r w:rsidRPr="0085658C">
              <w:t>Standard national MMS</w:t>
            </w:r>
          </w:p>
        </w:tc>
        <w:tc>
          <w:tcPr>
            <w:tcW w:w="2206" w:type="dxa"/>
            <w:vAlign w:val="center"/>
          </w:tcPr>
          <w:p w14:paraId="013010CD" w14:textId="77777777" w:rsidR="00EB0F78" w:rsidRPr="0085658C" w:rsidRDefault="00EB0F78" w:rsidP="00EB0F78">
            <w:pPr>
              <w:pStyle w:val="NormalTable3pttopbottom"/>
              <w:jc w:val="center"/>
            </w:pPr>
            <w:r w:rsidRPr="0085658C">
              <w:t>49c per MMS</w:t>
            </w:r>
          </w:p>
        </w:tc>
      </w:tr>
      <w:tr w:rsidR="00EB0F78" w:rsidRPr="0085658C" w14:paraId="013010D1" w14:textId="77777777" w:rsidTr="00296B49">
        <w:tc>
          <w:tcPr>
            <w:tcW w:w="2410" w:type="dxa"/>
          </w:tcPr>
          <w:p w14:paraId="013010CF" w14:textId="77777777" w:rsidR="00EB0F78" w:rsidRPr="0085658C" w:rsidRDefault="008D24DF" w:rsidP="008D24DF">
            <w:pPr>
              <w:pStyle w:val="NormalTable3pttopbottom"/>
            </w:pPr>
            <w:r w:rsidRPr="0085658C">
              <w:t>Data in Australia</w:t>
            </w:r>
          </w:p>
        </w:tc>
        <w:tc>
          <w:tcPr>
            <w:tcW w:w="2206" w:type="dxa"/>
            <w:vAlign w:val="center"/>
          </w:tcPr>
          <w:p w14:paraId="013010D0" w14:textId="77777777" w:rsidR="00EB0F78" w:rsidRPr="0085658C" w:rsidRDefault="00EB0F78" w:rsidP="00EB0F78">
            <w:pPr>
              <w:pStyle w:val="NormalTable3pttopbottom"/>
              <w:jc w:val="center"/>
            </w:pPr>
            <w:r w:rsidRPr="0085658C">
              <w:t>10</w:t>
            </w:r>
            <w:r w:rsidR="003A371B" w:rsidRPr="0085658C">
              <w:t>c</w:t>
            </w:r>
            <w:r w:rsidRPr="0085658C">
              <w:t xml:space="preserve"> per MB</w:t>
            </w:r>
          </w:p>
        </w:tc>
      </w:tr>
    </w:tbl>
    <w:p w14:paraId="52C8A437" w14:textId="77777777" w:rsidR="00296B49" w:rsidRDefault="00296B49" w:rsidP="00EB0F78">
      <w:pPr>
        <w:rPr>
          <w:b/>
        </w:rPr>
      </w:pPr>
    </w:p>
    <w:p w14:paraId="0FD3E05B" w14:textId="77777777" w:rsidR="00296B49" w:rsidRDefault="00296B49" w:rsidP="00EB0F78">
      <w:pPr>
        <w:rPr>
          <w:b/>
        </w:rPr>
      </w:pPr>
    </w:p>
    <w:p w14:paraId="013010D2" w14:textId="7650AB98" w:rsidR="00EB0F78" w:rsidRPr="0085658C" w:rsidRDefault="00EB0F78" w:rsidP="00EB0F78">
      <w:r w:rsidRPr="0085658C">
        <w:rPr>
          <w:b/>
        </w:rPr>
        <w:lastRenderedPageBreak/>
        <w:t xml:space="preserve">Mandatory goods </w:t>
      </w:r>
      <w:r w:rsidRPr="0085658C">
        <w:br/>
        <w:t xml:space="preserve">You need to supply your own mobile phone </w:t>
      </w:r>
      <w:proofErr w:type="gramStart"/>
      <w:r w:rsidRPr="0085658C">
        <w:t>in order to</w:t>
      </w:r>
      <w:proofErr w:type="gramEnd"/>
      <w:r w:rsidRPr="0085658C">
        <w:t xml:space="preserve"> access this service with the SIM card we will provide you.  In order to access data using this service, your phone will need to be internet-capable.  Make sure that your device isn’t locked to other networks.</w:t>
      </w:r>
    </w:p>
    <w:p w14:paraId="013010D3" w14:textId="77777777" w:rsidR="00EB0F78" w:rsidRPr="0085658C" w:rsidRDefault="00EB0F78" w:rsidP="00EB0F78">
      <w:r w:rsidRPr="0085658C">
        <w:rPr>
          <w:b/>
        </w:rPr>
        <w:t>Coverage</w:t>
      </w:r>
      <w:r w:rsidRPr="0085658C">
        <w:br/>
        <w:t xml:space="preserve">Coverage availability will vary depending on your device compatibility and location. </w:t>
      </w:r>
      <w:r w:rsidR="003F790C" w:rsidRPr="0085658C">
        <w:t xml:space="preserve"> </w:t>
      </w:r>
      <w:r w:rsidRPr="0085658C">
        <w:t xml:space="preserve">Please refer to the </w:t>
      </w:r>
      <w:hyperlink r:id="rId13" w:history="1">
        <w:r w:rsidRPr="0085658C">
          <w:rPr>
            <w:rStyle w:val="Hyperlink"/>
          </w:rPr>
          <w:t>catchconnect.com.au/coverage-map</w:t>
        </w:r>
      </w:hyperlink>
      <w:r w:rsidR="003A371B" w:rsidRPr="0085658C">
        <w:t xml:space="preserve"> </w:t>
      </w:r>
      <w:r w:rsidRPr="0085658C">
        <w:t>to check if your device can take full advantage of the Optus network.</w:t>
      </w:r>
    </w:p>
    <w:p w14:paraId="013010D4" w14:textId="77777777" w:rsidR="00EB0F78" w:rsidRPr="0085658C" w:rsidRDefault="00EB0F78" w:rsidP="00EB0F78">
      <w:r w:rsidRPr="0085658C">
        <w:rPr>
          <w:b/>
        </w:rPr>
        <w:t>Activation</w:t>
      </w:r>
      <w:r w:rsidRPr="0085658C">
        <w:rPr>
          <w:b/>
        </w:rPr>
        <w:br/>
      </w:r>
      <w:r w:rsidRPr="0085658C">
        <w:t xml:space="preserve">To use this service you need to purchase and activate a Catch Connect Prepaid SIM.  </w:t>
      </w:r>
      <w:r w:rsidRPr="0085658C">
        <w:rPr>
          <w:u w:val="single"/>
        </w:rPr>
        <w:t>You need to activate your SIM within 30 days of purc</w:t>
      </w:r>
      <w:r w:rsidR="003A371B" w:rsidRPr="0085658C">
        <w:rPr>
          <w:u w:val="single"/>
        </w:rPr>
        <w:t>hase or by the date advertised i</w:t>
      </w:r>
      <w:r w:rsidRPr="0085658C">
        <w:rPr>
          <w:u w:val="single"/>
        </w:rPr>
        <w:t>n a promotion</w:t>
      </w:r>
      <w:r w:rsidR="004A510C" w:rsidRPr="0085658C">
        <w:rPr>
          <w:u w:val="single"/>
        </w:rPr>
        <w:t xml:space="preserve"> (whichever is earlier)</w:t>
      </w:r>
      <w:r w:rsidRPr="0085658C">
        <w:t xml:space="preserve"> in order to take advantage of the inclusions in any advertised plans.</w:t>
      </w:r>
    </w:p>
    <w:p w14:paraId="013010D5" w14:textId="77777777" w:rsidR="00EB0F78" w:rsidRPr="0085658C" w:rsidRDefault="00EB0F78" w:rsidP="00EB0F78">
      <w:r w:rsidRPr="0085658C">
        <w:rPr>
          <w:b/>
        </w:rPr>
        <w:t>Special promotions and bonuses</w:t>
      </w:r>
      <w:r w:rsidRPr="0085658C">
        <w:br/>
        <w:t>This summary may not include special promotions or bonuses that may be associated with your plan or added by you.</w:t>
      </w:r>
    </w:p>
    <w:p w14:paraId="013010D6" w14:textId="77777777" w:rsidR="00EB0F78" w:rsidRPr="0085658C" w:rsidRDefault="00EB0F78" w:rsidP="00EB0F78">
      <w:r w:rsidRPr="0085658C">
        <w:rPr>
          <w:b/>
        </w:rPr>
        <w:t>Fair Go Policy</w:t>
      </w:r>
      <w:r w:rsidRPr="0085658C">
        <w:rPr>
          <w:b/>
        </w:rPr>
        <w:br/>
      </w:r>
      <w:r w:rsidRPr="0085658C">
        <w:t xml:space="preserve">Our Fair Go Policy applies to this service.  The Fair Go Policy ensures that all customers can access our services, and do not use our services in a manner that we consider ‘unreasonable’ or ‘unacceptable’, including, but not limited to ‘non-ordinary’ or ‘commercial purpose use’ of these services.  The policy also sets out your responsibilities when you use the internet, including any content which you publish online or by email.  It also confirms steps we may take to ensure and monitor compliance with this policy as well as setting out our responsibilities to comply with directions from regulatory and other law enforcement bodies.  You can find the policy at </w:t>
      </w:r>
      <w:hyperlink r:id="rId14" w:history="1">
        <w:r w:rsidRPr="0085658C">
          <w:rPr>
            <w:rStyle w:val="Hyperlink"/>
          </w:rPr>
          <w:t>optus.com.au/fairgo</w:t>
        </w:r>
      </w:hyperlink>
    </w:p>
    <w:p w14:paraId="013010D7" w14:textId="77777777" w:rsidR="00203C2E" w:rsidRPr="0085658C" w:rsidRDefault="00203C2E" w:rsidP="00203C2E">
      <w:r w:rsidRPr="0085658C">
        <w:rPr>
          <w:b/>
        </w:rPr>
        <w:t>Cancellation fees</w:t>
      </w:r>
      <w:r w:rsidRPr="0085658C">
        <w:rPr>
          <w:b/>
        </w:rPr>
        <w:br/>
      </w:r>
      <w:r w:rsidRPr="0085658C">
        <w:t>There are no cancellation fees.</w:t>
      </w:r>
    </w:p>
    <w:p w14:paraId="013010D8" w14:textId="77777777" w:rsidR="00F23355" w:rsidRPr="0085658C" w:rsidRDefault="00F23355" w:rsidP="00EB0F78">
      <w:r w:rsidRPr="0085658C">
        <w:rPr>
          <w:b/>
        </w:rPr>
        <w:t>Data Usage</w:t>
      </w:r>
      <w:r w:rsidRPr="0085658C">
        <w:rPr>
          <w:b/>
        </w:rPr>
        <w:br/>
      </w:r>
      <w:r w:rsidRPr="0085658C">
        <w:t xml:space="preserve">Data is counted in 1 KB </w:t>
      </w:r>
      <w:proofErr w:type="gramStart"/>
      <w:r w:rsidRPr="0085658C">
        <w:t>increments, and</w:t>
      </w:r>
      <w:proofErr w:type="gramEnd"/>
      <w:r w:rsidRPr="0085658C">
        <w:t xml:space="preserve"> includes uploads and downloads.  After you’ve used your included data, you will no longer be able to use your data service until you recharge again, unless you have an active Data Extras pack or Catch Extras credit.  Unused plan inclusion data will not rollover when you recharge before credit expiry.</w:t>
      </w:r>
    </w:p>
    <w:p w14:paraId="013010D9" w14:textId="77777777" w:rsidR="00EB0F78" w:rsidRPr="0085658C" w:rsidRDefault="00EB0F78" w:rsidP="00EB0F78">
      <w:pPr>
        <w:rPr>
          <w:b/>
        </w:rPr>
      </w:pPr>
      <w:r w:rsidRPr="0085658C">
        <w:rPr>
          <w:b/>
        </w:rPr>
        <w:t>Service expiry</w:t>
      </w:r>
      <w:r w:rsidR="004B078C" w:rsidRPr="0085658C">
        <w:rPr>
          <w:b/>
        </w:rPr>
        <w:br/>
      </w:r>
      <w:r w:rsidR="00511DC7" w:rsidRPr="004B078C">
        <w:t xml:space="preserve">If your plan is not set to auto-recharge and you do not recharge your plan, your </w:t>
      </w:r>
      <w:r w:rsidR="00511DC7">
        <w:t>SIM</w:t>
      </w:r>
      <w:r w:rsidR="00511DC7" w:rsidRPr="004B078C">
        <w:t xml:space="preserve"> will remain active for 186 days </w:t>
      </w:r>
      <w:r w:rsidR="00511DC7">
        <w:t>after your last recharge expires</w:t>
      </w:r>
      <w:r w:rsidR="00511DC7" w:rsidRPr="004B078C">
        <w:t>.</w:t>
      </w:r>
      <w:r w:rsidR="00511DC7">
        <w:t xml:space="preserve"> </w:t>
      </w:r>
      <w:r w:rsidR="00511DC7" w:rsidRPr="004B078C">
        <w:t xml:space="preserve"> If you do not recharge again during that time, your </w:t>
      </w:r>
      <w:r w:rsidR="00511DC7">
        <w:t>SIM</w:t>
      </w:r>
      <w:r w:rsidR="00511DC7" w:rsidRPr="004B078C">
        <w:t xml:space="preserve"> will be cancelled</w:t>
      </w:r>
      <w:r w:rsidR="00511DC7">
        <w:t>.  Y</w:t>
      </w:r>
      <w:r w:rsidR="00511DC7" w:rsidRPr="004B078C">
        <w:t xml:space="preserve">ou </w:t>
      </w:r>
      <w:r w:rsidR="00511DC7">
        <w:t>will</w:t>
      </w:r>
      <w:r w:rsidR="00511DC7" w:rsidRPr="004B078C">
        <w:t xml:space="preserve"> require a new SIM card to use the service</w:t>
      </w:r>
      <w:r w:rsidR="00511DC7">
        <w:t>.</w:t>
      </w:r>
    </w:p>
    <w:p w14:paraId="013010DA" w14:textId="77777777" w:rsidR="00EB0F78" w:rsidRPr="0085658C" w:rsidRDefault="00EB0F78" w:rsidP="00EB0F78">
      <w:pPr>
        <w:rPr>
          <w:b/>
        </w:rPr>
      </w:pPr>
      <w:r w:rsidRPr="0085658C">
        <w:rPr>
          <w:b/>
        </w:rPr>
        <w:t>Automatic recharging</w:t>
      </w:r>
      <w:r w:rsidR="004B078C" w:rsidRPr="0085658C">
        <w:rPr>
          <w:b/>
        </w:rPr>
        <w:br/>
      </w:r>
      <w:r w:rsidRPr="0085658C">
        <w:t>When you purchase your plan, it will be set by default to automatical</w:t>
      </w:r>
      <w:r w:rsidR="00C91FAF" w:rsidRPr="0085658C">
        <w:t xml:space="preserve">ly recharge your account </w:t>
      </w:r>
      <w:r w:rsidR="00511DC7">
        <w:t>30</w:t>
      </w:r>
      <w:r w:rsidRPr="0085658C">
        <w:t xml:space="preserve"> days</w:t>
      </w:r>
      <w:r w:rsidR="00C91FAF" w:rsidRPr="0085658C">
        <w:t xml:space="preserve"> after you activated the plan or last manually recharged</w:t>
      </w:r>
      <w:r w:rsidRPr="0085658C">
        <w:t xml:space="preserve">. </w:t>
      </w:r>
      <w:r w:rsidR="003F790C" w:rsidRPr="0085658C">
        <w:t xml:space="preserve"> </w:t>
      </w:r>
      <w:r w:rsidRPr="0085658C">
        <w:t xml:space="preserve">You can turn off automatic recharging and manage your recharges </w:t>
      </w:r>
      <w:r w:rsidR="00C91FAF" w:rsidRPr="0085658C">
        <w:t xml:space="preserve">by logging in to your </w:t>
      </w:r>
      <w:r w:rsidRPr="0085658C">
        <w:t xml:space="preserve">Catch Connect </w:t>
      </w:r>
      <w:r w:rsidR="00C91FAF" w:rsidRPr="0085658C">
        <w:t xml:space="preserve">account at </w:t>
      </w:r>
      <w:hyperlink r:id="rId15" w:history="1">
        <w:r w:rsidR="00C91FAF" w:rsidRPr="0085658C">
          <w:rPr>
            <w:rStyle w:val="Hyperlink"/>
          </w:rPr>
          <w:t>catchconnect.com.au/login</w:t>
        </w:r>
      </w:hyperlink>
      <w:r w:rsidRPr="0085658C">
        <w:t>.</w:t>
      </w:r>
    </w:p>
    <w:p w14:paraId="013010DB" w14:textId="77777777" w:rsidR="00EB0F78" w:rsidRPr="0085658C" w:rsidRDefault="004B078C" w:rsidP="00EB0F78">
      <w:pPr>
        <w:rPr>
          <w:b/>
        </w:rPr>
      </w:pPr>
      <w:r w:rsidRPr="0085658C">
        <w:rPr>
          <w:b/>
        </w:rPr>
        <w:t>Plan changes</w:t>
      </w:r>
      <w:r w:rsidRPr="0085658C">
        <w:rPr>
          <w:b/>
        </w:rPr>
        <w:br/>
      </w:r>
      <w:r w:rsidR="00EB0F78" w:rsidRPr="0085658C">
        <w:t xml:space="preserve">You </w:t>
      </w:r>
      <w:r w:rsidR="00C91FAF" w:rsidRPr="0085658C">
        <w:t>can</w:t>
      </w:r>
      <w:r w:rsidR="00EB0F78" w:rsidRPr="0085658C">
        <w:t xml:space="preserve"> </w:t>
      </w:r>
      <w:r w:rsidR="00C91FAF" w:rsidRPr="0085658C">
        <w:t>swap</w:t>
      </w:r>
      <w:r w:rsidR="00EB0F78" w:rsidRPr="0085658C">
        <w:t xml:space="preserve"> t</w:t>
      </w:r>
      <w:r w:rsidR="00C91FAF" w:rsidRPr="0085658C">
        <w:t>o a different</w:t>
      </w:r>
      <w:r w:rsidR="00EB0F78" w:rsidRPr="0085658C">
        <w:t xml:space="preserve"> Catch Connect </w:t>
      </w:r>
      <w:r w:rsidR="00511DC7">
        <w:t>data only</w:t>
      </w:r>
      <w:r w:rsidR="00EB0F78" w:rsidRPr="0085658C">
        <w:t xml:space="preserve"> plan at any time. </w:t>
      </w:r>
      <w:r w:rsidR="003F790C" w:rsidRPr="0085658C">
        <w:t xml:space="preserve"> </w:t>
      </w:r>
      <w:r w:rsidR="00C91FAF" w:rsidRPr="0085658C">
        <w:t xml:space="preserve">When you swap, </w:t>
      </w:r>
      <w:r w:rsidR="00EB0F78" w:rsidRPr="0085658C">
        <w:t xml:space="preserve">you will keep any </w:t>
      </w:r>
      <w:r w:rsidR="00C91FAF" w:rsidRPr="0085658C">
        <w:t>unexpired</w:t>
      </w:r>
      <w:r w:rsidR="00EB0F78" w:rsidRPr="0085658C">
        <w:t xml:space="preserve"> Extras</w:t>
      </w:r>
      <w:r w:rsidR="00C91FAF" w:rsidRPr="0085658C">
        <w:t xml:space="preserve"> packs and unexpired Extras credit</w:t>
      </w:r>
      <w:r w:rsidR="00EB0F78" w:rsidRPr="0085658C">
        <w:t xml:space="preserve">, but </w:t>
      </w:r>
      <w:r w:rsidR="00C91FAF" w:rsidRPr="0085658C">
        <w:t xml:space="preserve">you will </w:t>
      </w:r>
      <w:r w:rsidR="00EB0F78" w:rsidRPr="0085658C">
        <w:t xml:space="preserve">lose </w:t>
      </w:r>
      <w:r w:rsidR="00C91FAF" w:rsidRPr="0085658C">
        <w:t>your existing plan inclusions and any</w:t>
      </w:r>
      <w:r w:rsidR="00EB0F78" w:rsidRPr="0085658C">
        <w:t xml:space="preserve"> other</w:t>
      </w:r>
      <w:r w:rsidR="00C91FAF" w:rsidRPr="0085658C">
        <w:t xml:space="preserve"> credit, minutes, SMS/MMS, data, </w:t>
      </w:r>
      <w:r w:rsidR="00EB0F78" w:rsidRPr="0085658C">
        <w:t>bonuses</w:t>
      </w:r>
      <w:r w:rsidR="00C91FAF" w:rsidRPr="0085658C">
        <w:t xml:space="preserve"> or discounts</w:t>
      </w:r>
      <w:r w:rsidR="00AF6F4A" w:rsidRPr="0085658C">
        <w:t>.</w:t>
      </w:r>
    </w:p>
    <w:p w14:paraId="013010DC" w14:textId="77777777" w:rsidR="00EB0F78" w:rsidRPr="0085658C" w:rsidRDefault="00EB0F78" w:rsidP="00AF6F4A">
      <w:pPr>
        <w:keepNext/>
        <w:spacing w:before="240"/>
        <w:rPr>
          <w:rFonts w:ascii="MarkOT-Heavy" w:hAnsi="MarkOT-Heavy" w:cs="Arial"/>
          <w:color w:val="27638F"/>
          <w:sz w:val="18"/>
          <w:szCs w:val="18"/>
        </w:rPr>
      </w:pPr>
      <w:r w:rsidRPr="0085658C">
        <w:rPr>
          <w:rFonts w:ascii="MarkOT-Heavy" w:hAnsi="MarkOT-Heavy" w:cs="Arial"/>
          <w:color w:val="27638F"/>
          <w:sz w:val="18"/>
          <w:szCs w:val="18"/>
        </w:rPr>
        <w:t>Other Information</w:t>
      </w:r>
    </w:p>
    <w:p w14:paraId="013010DD" w14:textId="77777777" w:rsidR="00EB0F78" w:rsidRPr="0085658C" w:rsidRDefault="004B078C" w:rsidP="00AF6F4A">
      <w:pPr>
        <w:keepLines/>
        <w:rPr>
          <w:b/>
        </w:rPr>
      </w:pPr>
      <w:r w:rsidRPr="0085658C">
        <w:rPr>
          <w:b/>
        </w:rPr>
        <w:t>Tracking your spend</w:t>
      </w:r>
      <w:r w:rsidRPr="0085658C">
        <w:rPr>
          <w:b/>
        </w:rPr>
        <w:br/>
      </w:r>
      <w:r w:rsidR="00EB0F78" w:rsidRPr="0085658C">
        <w:t xml:space="preserve">You can track your account balance, and usage of your included data and any Extras, 24/7 through the dashboard for your Catch Connect account, accessible at </w:t>
      </w:r>
      <w:hyperlink r:id="rId16" w:history="1">
        <w:r w:rsidR="00EB0F78" w:rsidRPr="0085658C">
          <w:rPr>
            <w:rStyle w:val="Hyperlink"/>
          </w:rPr>
          <w:t>catchconnect.com.au/login</w:t>
        </w:r>
      </w:hyperlink>
      <w:r w:rsidR="00EB0F78" w:rsidRPr="0085658C">
        <w:t xml:space="preserve">. </w:t>
      </w:r>
      <w:r w:rsidR="003F790C" w:rsidRPr="0085658C">
        <w:t xml:space="preserve"> </w:t>
      </w:r>
      <w:r w:rsidR="00EB0F78" w:rsidRPr="0085658C">
        <w:t xml:space="preserve">When you’re in Australia, we will send you alerts when you have used 50%, 85% and 100% of your included data. </w:t>
      </w:r>
      <w:r w:rsidR="003F790C" w:rsidRPr="0085658C">
        <w:t xml:space="preserve"> </w:t>
      </w:r>
      <w:r w:rsidR="00EB0F78" w:rsidRPr="0085658C">
        <w:t xml:space="preserve">We will not send you alerts for usage of Extras </w:t>
      </w:r>
      <w:r w:rsidR="00C91FAF" w:rsidRPr="0085658C">
        <w:t xml:space="preserve">(including Extras data packs) </w:t>
      </w:r>
      <w:r w:rsidR="00EB0F78" w:rsidRPr="0085658C">
        <w:t>or any bonus data you may have received.</w:t>
      </w:r>
    </w:p>
    <w:p w14:paraId="013010DE" w14:textId="77777777" w:rsidR="00EB0F78" w:rsidRPr="0085658C" w:rsidRDefault="00EB0F78" w:rsidP="00EB0F78">
      <w:r w:rsidRPr="0085658C">
        <w:t xml:space="preserve">Catch Extras credit can also be used for roaming. </w:t>
      </w:r>
      <w:r w:rsidR="003F790C" w:rsidRPr="0085658C">
        <w:t xml:space="preserve"> </w:t>
      </w:r>
      <w:r w:rsidRPr="0085658C">
        <w:t xml:space="preserve">Roaming costs and charges can vary based on location and networks. </w:t>
      </w:r>
      <w:r w:rsidR="003F790C" w:rsidRPr="0085658C">
        <w:t xml:space="preserve"> </w:t>
      </w:r>
      <w:r w:rsidRPr="0085658C">
        <w:t xml:space="preserve">For more information on roaming rates, check out </w:t>
      </w:r>
      <w:hyperlink r:id="rId17" w:history="1">
        <w:r w:rsidRPr="0085658C">
          <w:rPr>
            <w:rStyle w:val="Hyperlink"/>
          </w:rPr>
          <w:t>catchconnect.com.au/pricing-roaming</w:t>
        </w:r>
      </w:hyperlink>
    </w:p>
    <w:p w14:paraId="013010DF" w14:textId="77777777" w:rsidR="00EB0F78" w:rsidRPr="0085658C" w:rsidRDefault="00EB0F78" w:rsidP="00EB0F78">
      <w:pPr>
        <w:rPr>
          <w:b/>
        </w:rPr>
      </w:pPr>
      <w:r w:rsidRPr="0085658C">
        <w:rPr>
          <w:b/>
        </w:rPr>
        <w:t>Customer service</w:t>
      </w:r>
      <w:r w:rsidR="004B078C" w:rsidRPr="0085658C">
        <w:rPr>
          <w:b/>
        </w:rPr>
        <w:br/>
      </w:r>
      <w:r w:rsidRPr="0085658C">
        <w:t>For assistance</w:t>
      </w:r>
      <w:r w:rsidR="00F15777" w:rsidRPr="0085658C">
        <w:t>,</w:t>
      </w:r>
      <w:r w:rsidRPr="0085658C">
        <w:t xml:space="preserve"> you can refer to the help section on the website at </w:t>
      </w:r>
      <w:hyperlink r:id="rId18" w:history="1">
        <w:r w:rsidRPr="0085658C">
          <w:rPr>
            <w:rStyle w:val="Hyperlink"/>
          </w:rPr>
          <w:t>catchconnect.com.au/help</w:t>
        </w:r>
      </w:hyperlink>
      <w:r w:rsidRPr="0085658C">
        <w:t xml:space="preserve">, email us at </w:t>
      </w:r>
      <w:hyperlink r:id="rId19" w:history="1">
        <w:r w:rsidR="004B078C" w:rsidRPr="0085658C">
          <w:rPr>
            <w:rStyle w:val="Hyperlink"/>
          </w:rPr>
          <w:t>catchsupport@catchconnect.com.au</w:t>
        </w:r>
      </w:hyperlink>
      <w:r w:rsidR="00F15777" w:rsidRPr="0085658C">
        <w:t xml:space="preserve"> </w:t>
      </w:r>
      <w:r w:rsidRPr="0085658C">
        <w:t xml:space="preserve">or contact us via the </w:t>
      </w:r>
      <w:r w:rsidR="00F15777" w:rsidRPr="0085658C">
        <w:t>w</w:t>
      </w:r>
      <w:r w:rsidRPr="0085658C">
        <w:t xml:space="preserve">ebchat tool on </w:t>
      </w:r>
      <w:hyperlink r:id="rId20" w:history="1">
        <w:r w:rsidRPr="0085658C">
          <w:rPr>
            <w:rStyle w:val="Hyperlink"/>
          </w:rPr>
          <w:t>catchconnect.com.au</w:t>
        </w:r>
      </w:hyperlink>
    </w:p>
    <w:p w14:paraId="013010E0" w14:textId="77777777" w:rsidR="00EB0F78" w:rsidRPr="00EB0F78" w:rsidRDefault="00EB0F78" w:rsidP="00EB0F78">
      <w:pPr>
        <w:rPr>
          <w:b/>
        </w:rPr>
      </w:pPr>
      <w:r w:rsidRPr="0085658C">
        <w:rPr>
          <w:b/>
        </w:rPr>
        <w:t>Customer complaints</w:t>
      </w:r>
      <w:r w:rsidR="004B078C" w:rsidRPr="0085658C">
        <w:rPr>
          <w:b/>
        </w:rPr>
        <w:br/>
      </w:r>
      <w:r w:rsidRPr="0085658C">
        <w:t xml:space="preserve">You can contact our complaint resolution area by calling us on </w:t>
      </w:r>
      <w:r w:rsidRPr="0085658C">
        <w:rPr>
          <w:b/>
        </w:rPr>
        <w:t>1300 222 825</w:t>
      </w:r>
      <w:r w:rsidRPr="0085658C">
        <w:t xml:space="preserve"> or by emailing us at </w:t>
      </w:r>
      <w:hyperlink r:id="rId21" w:history="1">
        <w:r w:rsidR="00F72C46" w:rsidRPr="0085658C">
          <w:rPr>
            <w:rStyle w:val="Hyperlink"/>
          </w:rPr>
          <w:t>complaints@catchconnect.com.au</w:t>
        </w:r>
      </w:hyperlink>
      <w:r w:rsidRPr="0085658C">
        <w:t xml:space="preserve">. </w:t>
      </w:r>
      <w:r w:rsidR="004B078C" w:rsidRPr="0085658C">
        <w:t xml:space="preserve"> </w:t>
      </w:r>
      <w:r w:rsidRPr="0085658C">
        <w:t xml:space="preserve">We encourage you to contact us first so that we can try to resolve your complaint straight away. </w:t>
      </w:r>
      <w:r w:rsidR="004B078C" w:rsidRPr="0085658C">
        <w:t xml:space="preserve"> </w:t>
      </w:r>
      <w:r w:rsidRPr="0085658C">
        <w:t>If you’re not happy with the outcome, you may also contact the Telecommunications Industry Ombudsman on 1800 062 058.</w:t>
      </w:r>
    </w:p>
    <w:sectPr w:rsidR="00EB0F78" w:rsidRPr="00EB0F78" w:rsidSect="00DF14A5">
      <w:footerReference w:type="default" r:id="rId22"/>
      <w:headerReference w:type="first" r:id="rId23"/>
      <w:footerReference w:type="first" r:id="rId24"/>
      <w:pgSz w:w="11906" w:h="16838"/>
      <w:pgMar w:top="720" w:right="720" w:bottom="720" w:left="720" w:header="709" w:footer="24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7E8C4" w14:textId="77777777" w:rsidR="007F1E76" w:rsidRDefault="007F1E76" w:rsidP="00185E7A">
      <w:pPr>
        <w:spacing w:before="0" w:after="0"/>
      </w:pPr>
      <w:r>
        <w:separator/>
      </w:r>
    </w:p>
  </w:endnote>
  <w:endnote w:type="continuationSeparator" w:id="0">
    <w:p w14:paraId="31D80E34" w14:textId="77777777" w:rsidR="007F1E76" w:rsidRDefault="007F1E76" w:rsidP="00185E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rkOT-Heavy">
    <w:panose1 w:val="020B0904020101010102"/>
    <w:charset w:val="00"/>
    <w:family w:val="swiss"/>
    <w:notTrueType/>
    <w:pitch w:val="variable"/>
    <w:sig w:usb0="A00000EF" w:usb1="5000FCFB"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AEE20" w14:textId="476A458E" w:rsidR="007C2AF2" w:rsidRDefault="007C2AF2" w:rsidP="007C2AF2">
    <w:pPr>
      <w:jc w:val="right"/>
      <w:rPr>
        <w:rStyle w:val="Hyperlink"/>
        <w:noProof/>
        <w:sz w:val="12"/>
        <w:szCs w:val="12"/>
      </w:rPr>
    </w:pPr>
    <w:r>
      <w:rPr>
        <w:noProof/>
      </w:rPr>
      <w:drawing>
        <wp:anchor distT="0" distB="0" distL="114300" distR="114300" simplePos="0" relativeHeight="251658240" behindDoc="1" locked="0" layoutInCell="1" allowOverlap="1" wp14:anchorId="43984231" wp14:editId="1F8AD71F">
          <wp:simplePos x="0" y="0"/>
          <wp:positionH relativeFrom="column">
            <wp:posOffset>251460</wp:posOffset>
          </wp:positionH>
          <wp:positionV relativeFrom="paragraph">
            <wp:posOffset>60960</wp:posOffset>
          </wp:positionV>
          <wp:extent cx="1282890" cy="512557"/>
          <wp:effectExtent l="0" t="0" r="0" b="1905"/>
          <wp:wrapTight wrapText="bothSides">
            <wp:wrapPolygon edited="0">
              <wp:start x="0" y="0"/>
              <wp:lineTo x="0" y="20877"/>
              <wp:lineTo x="21172" y="20877"/>
              <wp:lineTo x="211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82890" cy="512557"/>
                  </a:xfrm>
                  <a:prstGeom prst="rect">
                    <a:avLst/>
                  </a:prstGeom>
                </pic:spPr>
              </pic:pic>
            </a:graphicData>
          </a:graphic>
        </wp:anchor>
      </w:drawing>
    </w:r>
    <w:r>
      <w:tab/>
    </w:r>
    <w:r w:rsidRPr="004B492E">
      <w:rPr>
        <w:i/>
        <w:noProof/>
        <w:sz w:val="12"/>
        <w:szCs w:val="12"/>
      </w:rPr>
      <w:t>This is a summary only – the full Terms and Condition</w:t>
    </w:r>
    <w:r>
      <w:rPr>
        <w:i/>
        <w:noProof/>
        <w:sz w:val="12"/>
        <w:szCs w:val="12"/>
      </w:rPr>
      <w:t xml:space="preserve">s for this plan can found at </w:t>
    </w:r>
    <w:hyperlink r:id="rId2" w:history="1">
      <w:r w:rsidRPr="003C324A">
        <w:rPr>
          <w:rStyle w:val="Hyperlink"/>
          <w:noProof/>
          <w:sz w:val="12"/>
          <w:szCs w:val="12"/>
        </w:rPr>
        <w:t>catchconnect.com.au/policies</w:t>
      </w:r>
    </w:hyperlink>
  </w:p>
  <w:p w14:paraId="694E146B" w14:textId="13BFE73C" w:rsidR="007C2AF2" w:rsidRPr="003A7A34" w:rsidRDefault="007C2AF2" w:rsidP="007C2AF2">
    <w:pPr>
      <w:jc w:val="right"/>
      <w:rPr>
        <w:i/>
        <w:sz w:val="12"/>
        <w:szCs w:val="12"/>
      </w:rPr>
    </w:pPr>
    <w:r>
      <w:rPr>
        <w:i/>
        <w:sz w:val="12"/>
        <w:szCs w:val="12"/>
      </w:rPr>
      <w:t>Version 05.08.20</w:t>
    </w:r>
    <w:r w:rsidR="00B636DA">
      <w:rPr>
        <w:i/>
        <w:sz w:val="12"/>
        <w:szCs w:val="12"/>
      </w:rPr>
      <w:t>2</w:t>
    </w:r>
    <w:r>
      <w:rPr>
        <w:i/>
        <w:sz w:val="12"/>
        <w:szCs w:val="12"/>
      </w:rPr>
      <w:t>1</w:t>
    </w:r>
  </w:p>
  <w:p w14:paraId="2F70C5D3" w14:textId="7372420E" w:rsidR="007C2AF2" w:rsidRDefault="007C2AF2" w:rsidP="007C2AF2">
    <w:pPr>
      <w:pStyle w:val="Footer"/>
      <w:tabs>
        <w:tab w:val="clear" w:pos="4513"/>
        <w:tab w:val="clear" w:pos="9026"/>
        <w:tab w:val="center" w:pos="425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010E7" w14:textId="77777777" w:rsidR="00663FE1" w:rsidRDefault="00663FE1" w:rsidP="0027131C">
    <w:pPr>
      <w:jc w:val="right"/>
      <w:rPr>
        <w:rStyle w:val="Hyperlink"/>
        <w:noProof/>
        <w:sz w:val="12"/>
        <w:szCs w:val="12"/>
      </w:rPr>
    </w:pPr>
    <w:r>
      <w:rPr>
        <w:noProof/>
      </w:rPr>
      <w:drawing>
        <wp:anchor distT="0" distB="0" distL="114300" distR="114300" simplePos="0" relativeHeight="251656704" behindDoc="1" locked="0" layoutInCell="1" allowOverlap="1" wp14:anchorId="013010EC" wp14:editId="30D26071">
          <wp:simplePos x="0" y="0"/>
          <wp:positionH relativeFrom="column">
            <wp:posOffset>146685</wp:posOffset>
          </wp:positionH>
          <wp:positionV relativeFrom="paragraph">
            <wp:posOffset>66675</wp:posOffset>
          </wp:positionV>
          <wp:extent cx="1282890" cy="512557"/>
          <wp:effectExtent l="0" t="0" r="0" b="1905"/>
          <wp:wrapTight wrapText="bothSides">
            <wp:wrapPolygon edited="0">
              <wp:start x="0" y="0"/>
              <wp:lineTo x="0" y="20877"/>
              <wp:lineTo x="21172" y="20877"/>
              <wp:lineTo x="2117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82890" cy="512557"/>
                  </a:xfrm>
                  <a:prstGeom prst="rect">
                    <a:avLst/>
                  </a:prstGeom>
                </pic:spPr>
              </pic:pic>
            </a:graphicData>
          </a:graphic>
        </wp:anchor>
      </w:drawing>
    </w:r>
    <w:r w:rsidRPr="004B492E">
      <w:rPr>
        <w:i/>
        <w:noProof/>
        <w:sz w:val="12"/>
        <w:szCs w:val="12"/>
      </w:rPr>
      <w:t>This is a summary only – the full Terms and Condition</w:t>
    </w:r>
    <w:r>
      <w:rPr>
        <w:i/>
        <w:noProof/>
        <w:sz w:val="12"/>
        <w:szCs w:val="12"/>
      </w:rPr>
      <w:t xml:space="preserve">s for this plan can found at </w:t>
    </w:r>
    <w:hyperlink r:id="rId2" w:history="1">
      <w:r w:rsidRPr="003C324A">
        <w:rPr>
          <w:rStyle w:val="Hyperlink"/>
          <w:noProof/>
          <w:sz w:val="12"/>
          <w:szCs w:val="12"/>
        </w:rPr>
        <w:t>catchconnect.com.au/policies</w:t>
      </w:r>
    </w:hyperlink>
  </w:p>
  <w:p w14:paraId="013010E8" w14:textId="314828AF" w:rsidR="00663FE1" w:rsidRPr="003A7A34" w:rsidRDefault="00357A3D" w:rsidP="0027131C">
    <w:pPr>
      <w:jc w:val="right"/>
      <w:rPr>
        <w:i/>
        <w:sz w:val="12"/>
        <w:szCs w:val="12"/>
      </w:rPr>
    </w:pPr>
    <w:r>
      <w:rPr>
        <w:i/>
        <w:sz w:val="12"/>
        <w:szCs w:val="12"/>
      </w:rPr>
      <w:t xml:space="preserve">Version </w:t>
    </w:r>
    <w:r w:rsidR="00870F94">
      <w:rPr>
        <w:i/>
        <w:sz w:val="12"/>
        <w:szCs w:val="12"/>
      </w:rPr>
      <w:t>05</w:t>
    </w:r>
    <w:r w:rsidR="008D3D54">
      <w:rPr>
        <w:i/>
        <w:sz w:val="12"/>
        <w:szCs w:val="12"/>
      </w:rPr>
      <w:t>.</w:t>
    </w:r>
    <w:r w:rsidR="00870F94">
      <w:rPr>
        <w:i/>
        <w:sz w:val="12"/>
        <w:szCs w:val="12"/>
      </w:rPr>
      <w:t>08</w:t>
    </w:r>
    <w:r w:rsidR="005A294E">
      <w:rPr>
        <w:i/>
        <w:sz w:val="12"/>
        <w:szCs w:val="12"/>
      </w:rPr>
      <w:t>.20</w:t>
    </w:r>
    <w:r w:rsidR="00B636DA">
      <w:rPr>
        <w:i/>
        <w:sz w:val="12"/>
        <w:szCs w:val="12"/>
      </w:rPr>
      <w:t>2</w:t>
    </w:r>
    <w:r w:rsidR="00870F94">
      <w:rPr>
        <w:i/>
        <w:sz w:val="12"/>
        <w:szCs w:val="12"/>
      </w:rPr>
      <w:t>1</w:t>
    </w:r>
  </w:p>
  <w:p w14:paraId="013010E9" w14:textId="77777777" w:rsidR="00663FE1" w:rsidRDefault="00663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9625C" w14:textId="77777777" w:rsidR="007F1E76" w:rsidRDefault="007F1E76" w:rsidP="00185E7A">
      <w:pPr>
        <w:spacing w:before="0" w:after="0"/>
      </w:pPr>
      <w:r>
        <w:separator/>
      </w:r>
    </w:p>
  </w:footnote>
  <w:footnote w:type="continuationSeparator" w:id="0">
    <w:p w14:paraId="076958FD" w14:textId="77777777" w:rsidR="007F1E76" w:rsidRDefault="007F1E76" w:rsidP="00185E7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010E5" w14:textId="77777777" w:rsidR="00663FE1" w:rsidRDefault="00663FE1" w:rsidP="00185E7A">
    <w:r>
      <w:rPr>
        <w:noProof/>
        <w:lang w:eastAsia="en-AU"/>
      </w:rPr>
      <mc:AlternateContent>
        <mc:Choice Requires="wps">
          <w:drawing>
            <wp:anchor distT="0" distB="0" distL="114300" distR="114300" simplePos="0" relativeHeight="251658752" behindDoc="0" locked="0" layoutInCell="1" allowOverlap="1" wp14:anchorId="013010EA" wp14:editId="2C6B70C8">
              <wp:simplePos x="0" y="0"/>
              <wp:positionH relativeFrom="column">
                <wp:posOffset>0</wp:posOffset>
              </wp:positionH>
              <wp:positionV relativeFrom="paragraph">
                <wp:posOffset>-74753</wp:posOffset>
              </wp:positionV>
              <wp:extent cx="2044460" cy="336499"/>
              <wp:effectExtent l="0" t="0" r="0" b="6985"/>
              <wp:wrapNone/>
              <wp:docPr id="5" name="Rectangle 3"/>
              <wp:cNvGraphicFramePr xmlns:a="http://schemas.openxmlformats.org/drawingml/2006/main"/>
              <a:graphic xmlns:a="http://schemas.openxmlformats.org/drawingml/2006/main">
                <a:graphicData uri="http://schemas.microsoft.com/office/word/2010/wordprocessingShape">
                  <wps:wsp>
                    <wps:cNvSpPr/>
                    <wps:spPr>
                      <a:xfrm>
                        <a:off x="0" y="0"/>
                        <a:ext cx="2044460" cy="336499"/>
                      </a:xfrm>
                      <a:prstGeom prst="rect">
                        <a:avLst/>
                      </a:prstGeom>
                      <a:solidFill>
                        <a:srgbClr val="27638F"/>
                      </a:solidFill>
                      <a:ln w="25400" cap="flat" cmpd="sng" algn="ctr">
                        <a:noFill/>
                        <a:prstDash val="solid"/>
                      </a:ln>
                      <a:effectLst/>
                    </wps:spPr>
                    <wps:txbx>
                      <w:txbxContent>
                        <w:p w14:paraId="013010EE" w14:textId="77777777" w:rsidR="00663FE1" w:rsidRPr="00C513F3" w:rsidRDefault="00663FE1" w:rsidP="00185E7A">
                          <w:pPr>
                            <w:pStyle w:val="NormalWeb"/>
                            <w:spacing w:before="0" w:beforeAutospacing="0" w:after="0" w:afterAutospacing="0"/>
                            <w:jc w:val="center"/>
                            <w:rPr>
                              <w:rFonts w:ascii="MarkOT-Heavy" w:hAnsi="MarkOT-Heavy"/>
                              <w:b/>
                              <w:color w:val="FFFFFF" w:themeColor="background1"/>
                              <w:sz w:val="20"/>
                              <w:szCs w:val="20"/>
                            </w:rPr>
                          </w:pPr>
                          <w:r w:rsidRPr="006C1FCA">
                            <w:rPr>
                              <w:rFonts w:ascii="MarkOT-Heavy" w:hAnsi="MarkOT-Heavy" w:cstheme="minorBidi"/>
                              <w:b/>
                              <w:color w:val="FFFFFF" w:themeColor="light1"/>
                              <w:kern w:val="24"/>
                              <w:sz w:val="20"/>
                              <w:szCs w:val="20"/>
                            </w:rPr>
                            <w:t>Critical Information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010EA" id="Rectangle 3" o:spid="_x0000_s1026" style="position:absolute;margin-left:0;margin-top:-5.9pt;width:161pt;height: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" fillcolor="#27638f" stroked="f" strokeweight="2pt">
              <v:textbox>
                <w:txbxContent>
                  <w:p w14:paraId="013010EE" w14:textId="77777777" w:rsidR="00663FE1" w:rsidRPr="00C513F3" w:rsidRDefault="00663FE1" w:rsidP="00185E7A">
                    <w:pPr>
                      <w:pStyle w:val="NormalWeb"/>
                      <w:spacing w:before="0" w:beforeAutospacing="0" w:after="0" w:afterAutospacing="0"/>
                      <w:jc w:val="center"/>
                      <w:rPr>
                        <w:rFonts w:ascii="MarkOT-Heavy" w:hAnsi="MarkOT-Heavy"/>
                        <w:b/>
                        <w:color w:val="FFFFFF" w:themeColor="background1"/>
                        <w:sz w:val="20"/>
                        <w:szCs w:val="20"/>
                      </w:rPr>
                    </w:pPr>
                    <w:r w:rsidRPr="006C1FCA">
                      <w:rPr>
                        <w:rFonts w:ascii="MarkOT-Heavy" w:hAnsi="MarkOT-Heavy" w:cstheme="minorBidi"/>
                        <w:b/>
                        <w:color w:val="FFFFFF" w:themeColor="light1"/>
                        <w:kern w:val="24"/>
                        <w:sz w:val="20"/>
                        <w:szCs w:val="20"/>
                      </w:rPr>
                      <w:t>Critical Information Summary</w:t>
                    </w:r>
                  </w:p>
                </w:txbxContent>
              </v:textbox>
            </v:rect>
          </w:pict>
        </mc:Fallback>
      </mc:AlternateContent>
    </w:r>
  </w:p>
  <w:p w14:paraId="013010E6" w14:textId="08E784A4" w:rsidR="00663FE1" w:rsidRPr="00DF14A5" w:rsidRDefault="00663FE1" w:rsidP="00185E7A">
    <w:pPr>
      <w:pStyle w:val="Heading"/>
      <w:rPr>
        <w:sz w:val="36"/>
        <w:szCs w:val="36"/>
      </w:rPr>
    </w:pPr>
    <w:r w:rsidRPr="00774FDE">
      <w:t>C</w:t>
    </w:r>
    <w:r>
      <w:t>atch Connect Prepaid Mobile</w:t>
    </w:r>
    <w:r w:rsidR="00DF14A5">
      <w:t xml:space="preserve"> - </w:t>
    </w:r>
    <w:r w:rsidR="00511DC7" w:rsidRPr="00DF14A5">
      <w:rPr>
        <w:sz w:val="36"/>
        <w:szCs w:val="36"/>
      </w:rPr>
      <w:t>3</w:t>
    </w:r>
    <w:r w:rsidR="00DD5F9E" w:rsidRPr="00DF14A5">
      <w:rPr>
        <w:sz w:val="36"/>
        <w:szCs w:val="36"/>
      </w:rPr>
      <w:t>0</w:t>
    </w:r>
    <w:r w:rsidR="0085658C" w:rsidRPr="00DF14A5">
      <w:rPr>
        <w:sz w:val="36"/>
        <w:szCs w:val="36"/>
      </w:rPr>
      <w:t xml:space="preserve"> </w:t>
    </w:r>
    <w:r w:rsidRPr="00DF14A5">
      <w:rPr>
        <w:sz w:val="36"/>
        <w:szCs w:val="36"/>
      </w:rPr>
      <w:t>Day Plans</w:t>
    </w:r>
    <w:r w:rsidR="00511DC7" w:rsidRPr="00DF14A5">
      <w:rPr>
        <w:sz w:val="36"/>
        <w:szCs w:val="36"/>
      </w:rPr>
      <w:t xml:space="preserve"> data 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7A"/>
    <w:rsid w:val="00002540"/>
    <w:rsid w:val="00040BC8"/>
    <w:rsid w:val="00080C17"/>
    <w:rsid w:val="00096A2D"/>
    <w:rsid w:val="000D6891"/>
    <w:rsid w:val="000F1DE1"/>
    <w:rsid w:val="00120BF8"/>
    <w:rsid w:val="00131031"/>
    <w:rsid w:val="00134577"/>
    <w:rsid w:val="0016776D"/>
    <w:rsid w:val="00185E7A"/>
    <w:rsid w:val="00194462"/>
    <w:rsid w:val="0020065E"/>
    <w:rsid w:val="00203C2E"/>
    <w:rsid w:val="0027131C"/>
    <w:rsid w:val="00296B49"/>
    <w:rsid w:val="00296D14"/>
    <w:rsid w:val="002D278F"/>
    <w:rsid w:val="003059CF"/>
    <w:rsid w:val="003356D6"/>
    <w:rsid w:val="00357A3D"/>
    <w:rsid w:val="003973D5"/>
    <w:rsid w:val="003A371B"/>
    <w:rsid w:val="003C0706"/>
    <w:rsid w:val="003D6ABD"/>
    <w:rsid w:val="003F790C"/>
    <w:rsid w:val="00443BB9"/>
    <w:rsid w:val="00485815"/>
    <w:rsid w:val="004A510C"/>
    <w:rsid w:val="004B078C"/>
    <w:rsid w:val="004B1CF9"/>
    <w:rsid w:val="004B4706"/>
    <w:rsid w:val="004B7B0D"/>
    <w:rsid w:val="00500730"/>
    <w:rsid w:val="00511DC7"/>
    <w:rsid w:val="00515920"/>
    <w:rsid w:val="00545BB8"/>
    <w:rsid w:val="00553E5E"/>
    <w:rsid w:val="0055741B"/>
    <w:rsid w:val="00574C70"/>
    <w:rsid w:val="005A294E"/>
    <w:rsid w:val="005B130E"/>
    <w:rsid w:val="00663FE1"/>
    <w:rsid w:val="006B4AE0"/>
    <w:rsid w:val="006C12A6"/>
    <w:rsid w:val="006C2976"/>
    <w:rsid w:val="006C5B4B"/>
    <w:rsid w:val="006C6DE6"/>
    <w:rsid w:val="006E7123"/>
    <w:rsid w:val="006F5D17"/>
    <w:rsid w:val="007065FD"/>
    <w:rsid w:val="00742D8D"/>
    <w:rsid w:val="00761178"/>
    <w:rsid w:val="007C052D"/>
    <w:rsid w:val="007C2AF2"/>
    <w:rsid w:val="007E33C4"/>
    <w:rsid w:val="007E3E2B"/>
    <w:rsid w:val="007F1E76"/>
    <w:rsid w:val="0085658C"/>
    <w:rsid w:val="00870F94"/>
    <w:rsid w:val="008A3A5F"/>
    <w:rsid w:val="008D24DF"/>
    <w:rsid w:val="008D3D54"/>
    <w:rsid w:val="008D7388"/>
    <w:rsid w:val="008F1770"/>
    <w:rsid w:val="009011DE"/>
    <w:rsid w:val="009B5802"/>
    <w:rsid w:val="009E6F85"/>
    <w:rsid w:val="009F73F6"/>
    <w:rsid w:val="00A1597A"/>
    <w:rsid w:val="00A21E1F"/>
    <w:rsid w:val="00A3079F"/>
    <w:rsid w:val="00A4714A"/>
    <w:rsid w:val="00AD5C94"/>
    <w:rsid w:val="00AE1744"/>
    <w:rsid w:val="00AF6F4A"/>
    <w:rsid w:val="00B636DA"/>
    <w:rsid w:val="00BA1BF0"/>
    <w:rsid w:val="00BA4B8D"/>
    <w:rsid w:val="00C13E9B"/>
    <w:rsid w:val="00C253A8"/>
    <w:rsid w:val="00C319AB"/>
    <w:rsid w:val="00C37D2B"/>
    <w:rsid w:val="00C91FAF"/>
    <w:rsid w:val="00C92A43"/>
    <w:rsid w:val="00CC3F71"/>
    <w:rsid w:val="00D32C10"/>
    <w:rsid w:val="00D645CB"/>
    <w:rsid w:val="00DA7702"/>
    <w:rsid w:val="00DD5F9E"/>
    <w:rsid w:val="00DF14A5"/>
    <w:rsid w:val="00E07B93"/>
    <w:rsid w:val="00E46414"/>
    <w:rsid w:val="00E7500A"/>
    <w:rsid w:val="00EB0F78"/>
    <w:rsid w:val="00F15777"/>
    <w:rsid w:val="00F23355"/>
    <w:rsid w:val="00F36BE8"/>
    <w:rsid w:val="00F6414B"/>
    <w:rsid w:val="00F72C46"/>
    <w:rsid w:val="00F845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0105B"/>
  <w15:docId w15:val="{5B2A22AF-C2E4-4AC3-AF91-CE8674C4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E7A"/>
    <w:pPr>
      <w:spacing w:before="120" w:after="120" w:line="240" w:lineRule="auto"/>
    </w:pPr>
    <w:rPr>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E7A"/>
    <w:pPr>
      <w:tabs>
        <w:tab w:val="center" w:pos="4513"/>
        <w:tab w:val="right" w:pos="9026"/>
      </w:tabs>
      <w:spacing w:after="0"/>
    </w:pPr>
  </w:style>
  <w:style w:type="character" w:customStyle="1" w:styleId="HeaderChar">
    <w:name w:val="Header Char"/>
    <w:basedOn w:val="DefaultParagraphFont"/>
    <w:link w:val="Header"/>
    <w:uiPriority w:val="99"/>
    <w:rsid w:val="00185E7A"/>
  </w:style>
  <w:style w:type="paragraph" w:styleId="Footer">
    <w:name w:val="footer"/>
    <w:basedOn w:val="Normal"/>
    <w:link w:val="FooterChar"/>
    <w:uiPriority w:val="99"/>
    <w:unhideWhenUsed/>
    <w:rsid w:val="00185E7A"/>
    <w:pPr>
      <w:tabs>
        <w:tab w:val="center" w:pos="4513"/>
        <w:tab w:val="right" w:pos="9026"/>
      </w:tabs>
      <w:spacing w:after="0"/>
    </w:pPr>
  </w:style>
  <w:style w:type="character" w:customStyle="1" w:styleId="FooterChar">
    <w:name w:val="Footer Char"/>
    <w:basedOn w:val="DefaultParagraphFont"/>
    <w:link w:val="Footer"/>
    <w:uiPriority w:val="99"/>
    <w:rsid w:val="00185E7A"/>
  </w:style>
  <w:style w:type="paragraph" w:styleId="NormalWeb">
    <w:name w:val="Normal (Web)"/>
    <w:basedOn w:val="Normal"/>
    <w:uiPriority w:val="99"/>
    <w:semiHidden/>
    <w:unhideWhenUsed/>
    <w:rsid w:val="00185E7A"/>
    <w:pPr>
      <w:spacing w:before="100" w:beforeAutospacing="1" w:after="100" w:afterAutospacing="1"/>
    </w:pPr>
    <w:rPr>
      <w:rFonts w:ascii="Times New Roman" w:eastAsiaTheme="minorEastAsia" w:hAnsi="Times New Roman" w:cs="Times New Roman"/>
      <w:sz w:val="24"/>
      <w:szCs w:val="24"/>
      <w:lang w:eastAsia="en-AU"/>
    </w:rPr>
  </w:style>
  <w:style w:type="table" w:styleId="TableGrid">
    <w:name w:val="Table Grid"/>
    <w:basedOn w:val="TableNormal"/>
    <w:uiPriority w:val="59"/>
    <w:rsid w:val="00185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
    <w:name w:val="Table Text"/>
    <w:basedOn w:val="TableNormal"/>
    <w:uiPriority w:val="99"/>
    <w:rsid w:val="00D645CB"/>
    <w:pPr>
      <w:spacing w:after="0" w:line="240" w:lineRule="auto"/>
    </w:pPr>
    <w:rPr>
      <w:sz w:val="17"/>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NormalTable3pttopbottom">
    <w:name w:val="Normal Table (3pt top bottom)"/>
    <w:basedOn w:val="NoSpacing"/>
    <w:qFormat/>
    <w:rsid w:val="00185E7A"/>
    <w:pPr>
      <w:spacing w:before="20" w:after="20"/>
    </w:pPr>
    <w:rPr>
      <w:sz w:val="16"/>
    </w:rPr>
  </w:style>
  <w:style w:type="paragraph" w:styleId="NoSpacing">
    <w:name w:val="No Spacing"/>
    <w:uiPriority w:val="1"/>
    <w:qFormat/>
    <w:rsid w:val="00185E7A"/>
    <w:pPr>
      <w:spacing w:after="0" w:line="240" w:lineRule="auto"/>
    </w:pPr>
    <w:rPr>
      <w:sz w:val="17"/>
    </w:rPr>
  </w:style>
  <w:style w:type="paragraph" w:styleId="BalloonText">
    <w:name w:val="Balloon Text"/>
    <w:basedOn w:val="Normal"/>
    <w:link w:val="BalloonTextChar"/>
    <w:uiPriority w:val="99"/>
    <w:semiHidden/>
    <w:unhideWhenUsed/>
    <w:rsid w:val="00185E7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E7A"/>
    <w:rPr>
      <w:rFonts w:ascii="Tahoma" w:hAnsi="Tahoma" w:cs="Tahoma"/>
      <w:sz w:val="16"/>
      <w:szCs w:val="16"/>
    </w:rPr>
  </w:style>
  <w:style w:type="paragraph" w:customStyle="1" w:styleId="Heading">
    <w:name w:val="Heading"/>
    <w:basedOn w:val="Normal"/>
    <w:qFormat/>
    <w:rsid w:val="00185E7A"/>
    <w:pPr>
      <w:spacing w:before="0"/>
    </w:pPr>
    <w:rPr>
      <w:rFonts w:ascii="MarkOT-Heavy" w:hAnsi="MarkOT-Heavy"/>
      <w:b/>
      <w:color w:val="27638F"/>
      <w:sz w:val="40"/>
    </w:rPr>
  </w:style>
  <w:style w:type="character" w:styleId="Hyperlink">
    <w:name w:val="Hyperlink"/>
    <w:basedOn w:val="DefaultParagraphFont"/>
    <w:uiPriority w:val="99"/>
    <w:unhideWhenUsed/>
    <w:rsid w:val="00EB0F78"/>
    <w:rPr>
      <w:color w:val="0000FF" w:themeColor="hyperlink"/>
      <w:u w:val="single"/>
    </w:rPr>
  </w:style>
  <w:style w:type="character" w:styleId="FollowedHyperlink">
    <w:name w:val="FollowedHyperlink"/>
    <w:basedOn w:val="DefaultParagraphFont"/>
    <w:uiPriority w:val="99"/>
    <w:semiHidden/>
    <w:unhideWhenUsed/>
    <w:rsid w:val="004B078C"/>
    <w:rPr>
      <w:color w:val="800080" w:themeColor="followedHyperlink"/>
      <w:u w:val="single"/>
    </w:rPr>
  </w:style>
  <w:style w:type="character" w:styleId="CommentReference">
    <w:name w:val="annotation reference"/>
    <w:basedOn w:val="DefaultParagraphFont"/>
    <w:uiPriority w:val="99"/>
    <w:semiHidden/>
    <w:unhideWhenUsed/>
    <w:rsid w:val="003A371B"/>
    <w:rPr>
      <w:sz w:val="16"/>
      <w:szCs w:val="16"/>
    </w:rPr>
  </w:style>
  <w:style w:type="paragraph" w:styleId="CommentText">
    <w:name w:val="annotation text"/>
    <w:basedOn w:val="Normal"/>
    <w:link w:val="CommentTextChar"/>
    <w:uiPriority w:val="99"/>
    <w:semiHidden/>
    <w:unhideWhenUsed/>
    <w:rsid w:val="003A371B"/>
    <w:rPr>
      <w:sz w:val="20"/>
      <w:szCs w:val="20"/>
    </w:rPr>
  </w:style>
  <w:style w:type="character" w:customStyle="1" w:styleId="CommentTextChar">
    <w:name w:val="Comment Text Char"/>
    <w:basedOn w:val="DefaultParagraphFont"/>
    <w:link w:val="CommentText"/>
    <w:uiPriority w:val="99"/>
    <w:semiHidden/>
    <w:rsid w:val="003A371B"/>
    <w:rPr>
      <w:sz w:val="20"/>
      <w:szCs w:val="20"/>
    </w:rPr>
  </w:style>
  <w:style w:type="paragraph" w:styleId="CommentSubject">
    <w:name w:val="annotation subject"/>
    <w:basedOn w:val="CommentText"/>
    <w:next w:val="CommentText"/>
    <w:link w:val="CommentSubjectChar"/>
    <w:uiPriority w:val="99"/>
    <w:semiHidden/>
    <w:unhideWhenUsed/>
    <w:rsid w:val="003A371B"/>
    <w:rPr>
      <w:b/>
      <w:bCs/>
    </w:rPr>
  </w:style>
  <w:style w:type="character" w:customStyle="1" w:styleId="CommentSubjectChar">
    <w:name w:val="Comment Subject Char"/>
    <w:basedOn w:val="CommentTextChar"/>
    <w:link w:val="CommentSubject"/>
    <w:uiPriority w:val="99"/>
    <w:semiHidden/>
    <w:rsid w:val="003A37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tchconnect.com.au/coverage-map" TargetMode="External"/><Relationship Id="rId18" Type="http://schemas.openxmlformats.org/officeDocument/2006/relationships/hyperlink" Target="https://catchconnect.com.au/hel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mplaints@catchconnect.com.au?subject=Catch%20Connect%20Mobile:%20Complaints%20Teamcatchsupport@catchconnect.com.au" TargetMode="External"/><Relationship Id="rId7" Type="http://schemas.openxmlformats.org/officeDocument/2006/relationships/webSettings" Target="webSettings.xml"/><Relationship Id="rId12" Type="http://schemas.openxmlformats.org/officeDocument/2006/relationships/hyperlink" Target="https://www.catchconnect.com.au/pricing-roaming" TargetMode="External"/><Relationship Id="rId17" Type="http://schemas.openxmlformats.org/officeDocument/2006/relationships/hyperlink" Target="https://catchconnect.com.au/pric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tchconnect.com.au/login" TargetMode="External"/><Relationship Id="rId20" Type="http://schemas.openxmlformats.org/officeDocument/2006/relationships/hyperlink" Target="https://catchconnect.com.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tchconnect.com.au/pricing-roaming"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catchconnect.com.au/login" TargetMode="External"/><Relationship Id="rId23" Type="http://schemas.openxmlformats.org/officeDocument/2006/relationships/header" Target="header1.xml"/><Relationship Id="rId10" Type="http://schemas.openxmlformats.org/officeDocument/2006/relationships/hyperlink" Target="http://www.optus.com.au/content/dam/optus/appendix/appendix-j/AppJ.doc" TargetMode="External"/><Relationship Id="rId19" Type="http://schemas.openxmlformats.org/officeDocument/2006/relationships/hyperlink" Target="mailto:catchsupport@catchconnect.com.au?subject=Catch%20Connect%20Customer%20Servic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optus.com.au/fairgo"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atchconnect.com.au/policies"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s://catchconnect.com.au/policie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B5293DF1BECE4A84035FADBBA9A7BB" ma:contentTypeVersion="11" ma:contentTypeDescription="Create a new document." ma:contentTypeScope="" ma:versionID="2c7a302404b69aecb893c6f58f99e85d">
  <xsd:schema xmlns:xsd="http://www.w3.org/2001/XMLSchema" xmlns:xs="http://www.w3.org/2001/XMLSchema" xmlns:p="http://schemas.microsoft.com/office/2006/metadata/properties" xmlns:ns2="bb44d212-5b8c-4250-be8a-218ab82ad11e" xmlns:ns3="b3b26c40-7e99-4866-a736-44acc47e0f85" targetNamespace="http://schemas.microsoft.com/office/2006/metadata/properties" ma:root="true" ma:fieldsID="f7dcf37ae7244143c146738bd28daaf0" ns2:_="" ns3:_="">
    <xsd:import namespace="bb44d212-5b8c-4250-be8a-218ab82ad11e"/>
    <xsd:import namespace="b3b26c40-7e99-4866-a736-44acc47e0f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4d212-5b8c-4250-be8a-218ab82ad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26c40-7e99-4866-a736-44acc47e0f8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2F95F-0F4A-44D8-88E6-A498D5DC46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079852-336C-4201-A43D-9723A176A307}">
  <ds:schemaRefs>
    <ds:schemaRef ds:uri="http://schemas.microsoft.com/sharepoint/v3/contenttype/forms"/>
  </ds:schemaRefs>
</ds:datastoreItem>
</file>

<file path=customXml/itemProps3.xml><?xml version="1.0" encoding="utf-8"?>
<ds:datastoreItem xmlns:ds="http://schemas.openxmlformats.org/officeDocument/2006/customXml" ds:itemID="{A68E0D50-E819-43B9-8CF1-DC745F6CF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4d212-5b8c-4250-be8a-218ab82ad11e"/>
    <ds:schemaRef ds:uri="b3b26c40-7e99-4866-a736-44acc47e0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E7E7E6-7A7D-454E-9A5D-4226D2DE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Optus Systems Pty Ltd</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Oldham</dc:creator>
  <cp:lastModifiedBy>Cameron Jones</cp:lastModifiedBy>
  <cp:revision>4</cp:revision>
  <cp:lastPrinted>2018-04-26T03:53:00Z</cp:lastPrinted>
  <dcterms:created xsi:type="dcterms:W3CDTF">2021-08-04T03:39:00Z</dcterms:created>
  <dcterms:modified xsi:type="dcterms:W3CDTF">2021-08-04T03:42:00Z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0x0101002EB5293DF1BECE4A84035FADBBA9A7BB</vt:lpwstr>
  </property>
</Properties>
</file>